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CA655A" w:rsidP="000341CC">
            <w:pPr>
              <w:rPr>
                <w:rFonts w:ascii="Arial" w:hAnsi="Arial" w:cs="Arial"/>
              </w:rPr>
            </w:pPr>
            <w:bookmarkStart w:id="0" w:name="OLE_LINK1"/>
            <w:bookmarkStart w:id="1" w:name="OLE_LINK2"/>
            <w:r>
              <w:rPr>
                <w:rFonts w:ascii="Arial" w:hAnsi="Arial" w:cs="Arial"/>
              </w:rPr>
              <w:t xml:space="preserve">Australasian Society for Historical Archaeology </w:t>
            </w:r>
            <w:bookmarkEnd w:id="0"/>
            <w:bookmarkEnd w:id="1"/>
            <w:r w:rsidR="00AA2FE2">
              <w:rPr>
                <w:rFonts w:ascii="Arial" w:hAnsi="Arial" w:cs="Arial"/>
              </w:rPr>
              <w:t>(ASHA)</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CA655A" w:rsidP="000341CC">
            <w:pPr>
              <w:rPr>
                <w:rFonts w:ascii="Arial" w:hAnsi="Arial" w:cs="Arial"/>
                <w:b/>
                <w:lang w:val="en-GB"/>
              </w:rPr>
            </w:pPr>
            <w:r>
              <w:rPr>
                <w:rFonts w:ascii="Arial" w:hAnsi="Arial" w:cs="Arial"/>
                <w:b/>
                <w:lang w:val="en-GB"/>
              </w:rPr>
              <w:t>Mary Casey</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CA655A" w:rsidP="000341CC">
            <w:pPr>
              <w:rPr>
                <w:rFonts w:ascii="Arial" w:hAnsi="Arial" w:cs="Arial"/>
                <w:b/>
                <w:lang w:val="en-GB"/>
              </w:rPr>
            </w:pPr>
            <w:r>
              <w:rPr>
                <w:rFonts w:ascii="Arial" w:hAnsi="Arial" w:cs="Arial"/>
                <w:b/>
                <w:lang w:val="en-GB"/>
              </w:rPr>
              <w:t>7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A02078" w:rsidRPr="00A02078" w:rsidRDefault="00A02078" w:rsidP="00A02078">
            <w:pPr>
              <w:spacing w:before="60" w:after="60" w:line="240" w:lineRule="auto"/>
              <w:jc w:val="both"/>
              <w:outlineLvl w:val="1"/>
              <w:rPr>
                <w:rFonts w:asciiTheme="minorHAnsi" w:hAnsiTheme="minorHAnsi"/>
                <w:lang w:eastAsia="en-AU"/>
              </w:rPr>
            </w:pPr>
            <w:r>
              <w:rPr>
                <w:rFonts w:asciiTheme="minorHAnsi" w:hAnsiTheme="minorHAnsi"/>
                <w:lang w:eastAsia="en-AU"/>
              </w:rPr>
              <w:t xml:space="preserve">Heritage practice, </w:t>
            </w:r>
            <w:r w:rsidR="00B9664E">
              <w:rPr>
                <w:rFonts w:asciiTheme="minorHAnsi" w:hAnsiTheme="minorHAnsi"/>
                <w:lang w:eastAsia="en-AU"/>
              </w:rPr>
              <w:t xml:space="preserve">its </w:t>
            </w:r>
            <w:r>
              <w:rPr>
                <w:rFonts w:asciiTheme="minorHAnsi" w:hAnsiTheme="minorHAnsi"/>
                <w:lang w:eastAsia="en-AU"/>
              </w:rPr>
              <w:t>management and protection</w:t>
            </w:r>
            <w:r w:rsidR="00B9664E">
              <w:rPr>
                <w:rFonts w:asciiTheme="minorHAnsi" w:hAnsiTheme="minorHAnsi"/>
                <w:lang w:eastAsia="en-AU"/>
              </w:rPr>
              <w:t>,</w:t>
            </w:r>
            <w:r>
              <w:rPr>
                <w:rFonts w:asciiTheme="minorHAnsi" w:hAnsiTheme="minorHAnsi"/>
                <w:lang w:eastAsia="en-AU"/>
              </w:rPr>
              <w:t xml:space="preserve"> in Australia is challenged by i</w:t>
            </w:r>
            <w:r w:rsidRPr="00A02078">
              <w:rPr>
                <w:rFonts w:asciiTheme="minorHAnsi" w:hAnsiTheme="minorHAnsi"/>
                <w:lang w:eastAsia="en-AU"/>
              </w:rPr>
              <w:t>nsufficient resourcin</w:t>
            </w:r>
            <w:r>
              <w:rPr>
                <w:rFonts w:asciiTheme="minorHAnsi" w:hAnsiTheme="minorHAnsi"/>
                <w:lang w:eastAsia="en-AU"/>
              </w:rPr>
              <w:t>g from all levels of government</w:t>
            </w:r>
            <w:r w:rsidRPr="00A02078">
              <w:rPr>
                <w:rFonts w:asciiTheme="minorHAnsi" w:hAnsiTheme="minorHAnsi"/>
                <w:lang w:eastAsia="en-AU"/>
              </w:rPr>
              <w:t xml:space="preserve">.  </w:t>
            </w:r>
            <w:r>
              <w:rPr>
                <w:rFonts w:asciiTheme="minorHAnsi" w:hAnsiTheme="minorHAnsi"/>
                <w:lang w:eastAsia="en-AU"/>
              </w:rPr>
              <w:t xml:space="preserve">Aspects of the draft strategy suggest the </w:t>
            </w:r>
            <w:r w:rsidRPr="00A02078">
              <w:rPr>
                <w:rFonts w:asciiTheme="minorHAnsi" w:hAnsiTheme="minorHAnsi"/>
                <w:lang w:eastAsia="en-AU"/>
              </w:rPr>
              <w:t xml:space="preserve">handing over </w:t>
            </w:r>
            <w:r>
              <w:rPr>
                <w:rFonts w:asciiTheme="minorHAnsi" w:hAnsiTheme="minorHAnsi"/>
                <w:lang w:eastAsia="en-AU"/>
              </w:rPr>
              <w:t xml:space="preserve">of heritage management by </w:t>
            </w:r>
            <w:r w:rsidRPr="00A02078">
              <w:rPr>
                <w:rFonts w:asciiTheme="minorHAnsi" w:hAnsiTheme="minorHAnsi"/>
                <w:lang w:eastAsia="en-AU"/>
              </w:rPr>
              <w:t xml:space="preserve">default to </w:t>
            </w:r>
            <w:r>
              <w:rPr>
                <w:rFonts w:asciiTheme="minorHAnsi" w:hAnsiTheme="minorHAnsi"/>
                <w:lang w:eastAsia="en-AU"/>
              </w:rPr>
              <w:t>community groups</w:t>
            </w:r>
            <w:r w:rsidRPr="00A02078">
              <w:rPr>
                <w:rFonts w:asciiTheme="minorHAnsi" w:hAnsiTheme="minorHAnsi"/>
                <w:lang w:eastAsia="en-AU"/>
              </w:rPr>
              <w:t xml:space="preserve">.  </w:t>
            </w:r>
            <w:r>
              <w:rPr>
                <w:rFonts w:asciiTheme="minorHAnsi" w:hAnsiTheme="minorHAnsi"/>
                <w:lang w:eastAsia="en-AU"/>
              </w:rPr>
              <w:t>ASHA believes c</w:t>
            </w:r>
            <w:r w:rsidRPr="00A02078">
              <w:rPr>
                <w:rFonts w:asciiTheme="minorHAnsi" w:hAnsiTheme="minorHAnsi"/>
                <w:lang w:eastAsia="en-AU"/>
              </w:rPr>
              <w:t xml:space="preserve">ultural heritage and national identity is defined and strengthened by recognising the importance of maintaining and resourcing </w:t>
            </w:r>
            <w:r>
              <w:rPr>
                <w:rFonts w:asciiTheme="minorHAnsi" w:hAnsiTheme="minorHAnsi"/>
                <w:lang w:eastAsia="en-AU"/>
              </w:rPr>
              <w:t xml:space="preserve">significant </w:t>
            </w:r>
            <w:r w:rsidRPr="00A02078">
              <w:rPr>
                <w:rFonts w:asciiTheme="minorHAnsi" w:hAnsiTheme="minorHAnsi"/>
                <w:lang w:eastAsia="en-AU"/>
              </w:rPr>
              <w:t>heritage places.  Historical Archaeology is an important contributory element of defining the significance of heritage places.</w:t>
            </w:r>
            <w:r w:rsidR="00F7065B" w:rsidRPr="00A02078">
              <w:rPr>
                <w:rFonts w:asciiTheme="minorHAnsi" w:hAnsiTheme="minorHAnsi"/>
                <w:lang w:eastAsia="en-AU"/>
              </w:rPr>
              <w:t xml:space="preserve"> </w:t>
            </w:r>
            <w:r w:rsidRPr="00A02078">
              <w:rPr>
                <w:rFonts w:asciiTheme="minorHAnsi" w:hAnsiTheme="minorHAnsi"/>
                <w:lang w:eastAsia="en-AU"/>
              </w:rPr>
              <w:t>We consider it is essential that the Australian Government provides leadership in a range of areas:</w:t>
            </w:r>
          </w:p>
          <w:p w:rsidR="00F601FD" w:rsidRDefault="00F601FD" w:rsidP="00F601FD">
            <w:pPr>
              <w:pStyle w:val="ListParagraph"/>
              <w:numPr>
                <w:ilvl w:val="0"/>
                <w:numId w:val="11"/>
              </w:numPr>
              <w:spacing w:after="0"/>
              <w:ind w:left="357" w:hanging="357"/>
              <w:jc w:val="both"/>
              <w:rPr>
                <w:rFonts w:asciiTheme="minorHAnsi" w:hAnsiTheme="minorHAnsi"/>
                <w:lang w:eastAsia="en-AU"/>
              </w:rPr>
            </w:pPr>
            <w:r w:rsidRPr="00F601FD">
              <w:rPr>
                <w:lang w:eastAsia="en-AU"/>
              </w:rPr>
              <w:t>C</w:t>
            </w:r>
            <w:r w:rsidRPr="00F601FD">
              <w:rPr>
                <w:rFonts w:asciiTheme="minorHAnsi" w:hAnsiTheme="minorHAnsi"/>
                <w:lang w:eastAsia="en-AU"/>
              </w:rPr>
              <w:t xml:space="preserve">ommonwealth maintaining heritage best practice in regard to Commonwealth owned and managed heritage. </w:t>
            </w:r>
          </w:p>
          <w:p w:rsidR="00F601FD" w:rsidRDefault="00F601FD" w:rsidP="00F601FD">
            <w:pPr>
              <w:pStyle w:val="ListParagraph"/>
              <w:numPr>
                <w:ilvl w:val="0"/>
                <w:numId w:val="11"/>
              </w:numPr>
              <w:spacing w:after="0"/>
              <w:ind w:left="357" w:hanging="357"/>
              <w:jc w:val="both"/>
              <w:rPr>
                <w:rFonts w:asciiTheme="minorHAnsi" w:hAnsiTheme="minorHAnsi"/>
                <w:lang w:eastAsia="en-AU"/>
              </w:rPr>
            </w:pPr>
            <w:r>
              <w:rPr>
                <w:rFonts w:asciiTheme="minorHAnsi" w:hAnsiTheme="minorHAnsi"/>
                <w:lang w:eastAsia="en-AU"/>
              </w:rPr>
              <w:t xml:space="preserve">National government should have a profile internationally, by being involved in world’s best practice.  This will provide useful leadership models for Australian heritage and feed into other parts of the strategy.  </w:t>
            </w:r>
          </w:p>
          <w:p w:rsidR="009C4757" w:rsidRPr="00F601FD" w:rsidRDefault="009C4757" w:rsidP="00F601FD">
            <w:pPr>
              <w:pStyle w:val="ListParagraph"/>
              <w:numPr>
                <w:ilvl w:val="0"/>
                <w:numId w:val="11"/>
              </w:numPr>
              <w:spacing w:after="0"/>
              <w:ind w:left="357" w:hanging="357"/>
              <w:jc w:val="both"/>
              <w:rPr>
                <w:rFonts w:asciiTheme="minorHAnsi" w:hAnsiTheme="minorHAnsi"/>
                <w:lang w:eastAsia="en-AU"/>
              </w:rPr>
            </w:pPr>
            <w:r w:rsidRPr="00F601FD">
              <w:rPr>
                <w:rFonts w:asciiTheme="minorHAnsi" w:hAnsiTheme="minorHAnsi"/>
              </w:rPr>
              <w:t xml:space="preserve">Create a credible list of potential world heritage properties and capture a representative National Heritage List through a timely, robust, </w:t>
            </w:r>
            <w:r w:rsidR="0017764E" w:rsidRPr="00F601FD">
              <w:rPr>
                <w:rFonts w:asciiTheme="minorHAnsi" w:hAnsiTheme="minorHAnsi"/>
              </w:rPr>
              <w:t>evidence-</w:t>
            </w:r>
            <w:r w:rsidRPr="00F601FD">
              <w:rPr>
                <w:rFonts w:asciiTheme="minorHAnsi" w:hAnsiTheme="minorHAnsi"/>
              </w:rPr>
              <w:t xml:space="preserve">based process. </w:t>
            </w:r>
          </w:p>
          <w:p w:rsidR="00AA2FE2" w:rsidRDefault="00AA2FE2" w:rsidP="00F601FD">
            <w:pPr>
              <w:pStyle w:val="ListParagraph"/>
              <w:numPr>
                <w:ilvl w:val="0"/>
                <w:numId w:val="7"/>
              </w:numPr>
              <w:spacing w:after="0" w:line="240" w:lineRule="auto"/>
              <w:ind w:left="357" w:hanging="357"/>
              <w:jc w:val="both"/>
              <w:outlineLvl w:val="1"/>
              <w:rPr>
                <w:rFonts w:asciiTheme="minorHAnsi" w:hAnsiTheme="minorHAnsi"/>
                <w:lang w:eastAsia="en-AU"/>
              </w:rPr>
            </w:pPr>
            <w:r w:rsidRPr="00F601FD">
              <w:rPr>
                <w:rFonts w:asciiTheme="minorHAnsi" w:hAnsiTheme="minorHAnsi"/>
              </w:rPr>
              <w:lastRenderedPageBreak/>
              <w:t xml:space="preserve">Australian Government needs to engage with peak heritage and archaeological bodies to understand their concerns and needs so that </w:t>
            </w:r>
            <w:r w:rsidR="00F05FB3" w:rsidRPr="00F601FD">
              <w:rPr>
                <w:rFonts w:asciiTheme="minorHAnsi" w:hAnsiTheme="minorHAnsi"/>
              </w:rPr>
              <w:t xml:space="preserve">national </w:t>
            </w:r>
            <w:r w:rsidRPr="00F601FD">
              <w:rPr>
                <w:rFonts w:asciiTheme="minorHAnsi" w:hAnsiTheme="minorHAnsi"/>
              </w:rPr>
              <w:t>leadership is based on areas of concern</w:t>
            </w:r>
            <w:r w:rsidR="00F05FB3" w:rsidRPr="00F601FD">
              <w:rPr>
                <w:rFonts w:asciiTheme="minorHAnsi" w:hAnsiTheme="minorHAnsi"/>
              </w:rPr>
              <w:t xml:space="preserve"> to these groups which are part of the heritage community</w:t>
            </w:r>
            <w:r w:rsidRPr="00F601FD">
              <w:rPr>
                <w:rFonts w:asciiTheme="minorHAnsi" w:hAnsiTheme="minorHAnsi"/>
              </w:rPr>
              <w:t xml:space="preserve">.  </w:t>
            </w:r>
          </w:p>
          <w:p w:rsidR="00291251" w:rsidRPr="00F601FD" w:rsidRDefault="00291251" w:rsidP="00F601FD">
            <w:pPr>
              <w:pStyle w:val="ListParagraph"/>
              <w:numPr>
                <w:ilvl w:val="0"/>
                <w:numId w:val="7"/>
              </w:numPr>
              <w:spacing w:after="0" w:line="240" w:lineRule="auto"/>
              <w:ind w:left="357" w:hanging="357"/>
              <w:jc w:val="both"/>
              <w:outlineLvl w:val="1"/>
              <w:rPr>
                <w:rFonts w:asciiTheme="minorHAnsi" w:hAnsiTheme="minorHAnsi"/>
                <w:lang w:eastAsia="en-AU"/>
              </w:rPr>
            </w:pPr>
            <w:r>
              <w:rPr>
                <w:rFonts w:asciiTheme="minorHAnsi" w:hAnsiTheme="minorHAnsi"/>
              </w:rPr>
              <w:t xml:space="preserve">The amount of funding in the budget for Cultural Heritage is minimal.  Much more is spent on the Green Army (half billion over 5 years), Land Care (1 billion over 4 years) but in comparison Australia’s cultural heritage gets comparatively little money.   </w:t>
            </w:r>
          </w:p>
          <w:p w:rsidR="009C4757" w:rsidRPr="009C4757" w:rsidRDefault="009C4757" w:rsidP="00F601FD">
            <w:pPr>
              <w:pStyle w:val="ListParagraph"/>
              <w:numPr>
                <w:ilvl w:val="0"/>
                <w:numId w:val="7"/>
              </w:numPr>
              <w:spacing w:before="60" w:after="60" w:line="240" w:lineRule="auto"/>
              <w:jc w:val="both"/>
              <w:outlineLvl w:val="1"/>
              <w:rPr>
                <w:rFonts w:asciiTheme="minorHAnsi" w:hAnsiTheme="minorHAnsi"/>
                <w:lang w:eastAsia="en-AU"/>
              </w:rPr>
            </w:pPr>
            <w:r w:rsidRPr="009C4757">
              <w:rPr>
                <w:rFonts w:asciiTheme="minorHAnsi" w:hAnsiTheme="minorHAnsi"/>
              </w:rPr>
              <w:t xml:space="preserve">The strategy should have an inbuilt review and evaluation process to measure progress and implementation. </w:t>
            </w:r>
          </w:p>
          <w:p w:rsidR="009C4757" w:rsidRPr="009C4757" w:rsidRDefault="009C4757" w:rsidP="00F601FD">
            <w:pPr>
              <w:pStyle w:val="ListParagraph"/>
              <w:numPr>
                <w:ilvl w:val="0"/>
                <w:numId w:val="7"/>
              </w:numPr>
              <w:spacing w:after="0" w:line="240" w:lineRule="auto"/>
              <w:ind w:left="357" w:hanging="357"/>
              <w:jc w:val="both"/>
              <w:rPr>
                <w:rFonts w:asciiTheme="minorHAnsi" w:hAnsiTheme="minorHAnsi"/>
              </w:rPr>
            </w:pPr>
            <w:r w:rsidRPr="009C4757">
              <w:rPr>
                <w:rFonts w:asciiTheme="minorHAnsi" w:hAnsiTheme="minorHAnsi"/>
              </w:rPr>
              <w:t>Provide support to local environment and heritage conservation projects across Australia based on regional strategic needs assessments, th</w:t>
            </w:r>
            <w:r w:rsidR="00D1224F">
              <w:rPr>
                <w:rFonts w:asciiTheme="minorHAnsi" w:hAnsiTheme="minorHAnsi"/>
              </w:rPr>
              <w:t>r</w:t>
            </w:r>
            <w:r w:rsidRPr="009C4757">
              <w:rPr>
                <w:rFonts w:asciiTheme="minorHAnsi" w:hAnsiTheme="minorHAnsi"/>
              </w:rPr>
              <w:t xml:space="preserve">ough </w:t>
            </w:r>
            <w:r w:rsidR="00291251">
              <w:rPr>
                <w:rFonts w:asciiTheme="minorHAnsi" w:hAnsiTheme="minorHAnsi"/>
              </w:rPr>
              <w:t>t</w:t>
            </w:r>
            <w:r w:rsidRPr="009C4757">
              <w:rPr>
                <w:rFonts w:asciiTheme="minorHAnsi" w:hAnsiTheme="minorHAnsi"/>
              </w:rPr>
              <w:t xml:space="preserve">he Green Army </w:t>
            </w:r>
            <w:r w:rsidR="00291251">
              <w:rPr>
                <w:rFonts w:asciiTheme="minorHAnsi" w:hAnsiTheme="minorHAnsi"/>
              </w:rPr>
              <w:t>p</w:t>
            </w:r>
            <w:r w:rsidRPr="009C4757">
              <w:rPr>
                <w:rFonts w:asciiTheme="minorHAnsi" w:hAnsiTheme="minorHAnsi"/>
              </w:rPr>
              <w:t>rogram, which will include provision of supervision by environment and heritage experts.</w:t>
            </w:r>
          </w:p>
          <w:p w:rsidR="009C4757" w:rsidRPr="009C4757" w:rsidRDefault="009C4757" w:rsidP="00F05FB3">
            <w:pPr>
              <w:pStyle w:val="ListParagraph"/>
              <w:numPr>
                <w:ilvl w:val="0"/>
                <w:numId w:val="7"/>
              </w:numPr>
              <w:spacing w:before="60" w:after="60" w:line="240" w:lineRule="auto"/>
              <w:jc w:val="both"/>
              <w:outlineLvl w:val="1"/>
              <w:rPr>
                <w:rFonts w:asciiTheme="minorHAnsi" w:hAnsiTheme="minorHAnsi"/>
                <w:lang w:eastAsia="en-AU"/>
              </w:rPr>
            </w:pPr>
            <w:r w:rsidRPr="009C4757">
              <w:rPr>
                <w:rFonts w:asciiTheme="minorHAnsi" w:hAnsiTheme="minorHAnsi"/>
              </w:rPr>
              <w:t xml:space="preserve">Ensure linkages </w:t>
            </w:r>
            <w:r w:rsidR="00D1224F">
              <w:rPr>
                <w:rFonts w:asciiTheme="minorHAnsi" w:hAnsiTheme="minorHAnsi"/>
              </w:rPr>
              <w:t xml:space="preserve">to and </w:t>
            </w:r>
            <w:r w:rsidRPr="009C4757">
              <w:rPr>
                <w:rFonts w:asciiTheme="minorHAnsi" w:hAnsiTheme="minorHAnsi"/>
              </w:rPr>
              <w:t xml:space="preserve">between other national policies e.g. National Cultural Policy and National Tourism Policy, Australian </w:t>
            </w:r>
            <w:r w:rsidR="00AA2FE2" w:rsidRPr="00AA2FE2">
              <w:rPr>
                <w:rFonts w:asciiTheme="minorHAnsi" w:hAnsiTheme="minorHAnsi"/>
              </w:rPr>
              <w:t xml:space="preserve">National </w:t>
            </w:r>
            <w:r w:rsidRPr="009C4757">
              <w:rPr>
                <w:rFonts w:asciiTheme="minorHAnsi" w:hAnsiTheme="minorHAnsi"/>
              </w:rPr>
              <w:t xml:space="preserve">Curriculum. </w:t>
            </w:r>
          </w:p>
          <w:p w:rsidR="00F7065B" w:rsidRPr="009C4757" w:rsidRDefault="00F7065B" w:rsidP="00CF0B3A">
            <w:pPr>
              <w:pStyle w:val="ListParagraph"/>
              <w:numPr>
                <w:ilvl w:val="0"/>
                <w:numId w:val="7"/>
              </w:numPr>
              <w:spacing w:before="60" w:after="60" w:line="240" w:lineRule="auto"/>
              <w:outlineLvl w:val="1"/>
              <w:rPr>
                <w:rFonts w:asciiTheme="minorHAnsi" w:hAnsiTheme="minorHAnsi"/>
                <w:lang w:eastAsia="en-AU"/>
              </w:rPr>
            </w:pPr>
            <w:r w:rsidRPr="009C4757">
              <w:rPr>
                <w:rFonts w:asciiTheme="minorHAnsi" w:hAnsiTheme="minorHAnsi"/>
                <w:lang w:eastAsia="en-AU"/>
              </w:rPr>
              <w:t>Include proper understanding of archaeology</w:t>
            </w:r>
            <w:r w:rsidR="00AA2FE2">
              <w:rPr>
                <w:rFonts w:asciiTheme="minorHAnsi" w:hAnsiTheme="minorHAnsi"/>
                <w:lang w:eastAsia="en-AU"/>
              </w:rPr>
              <w:t>, both I</w:t>
            </w:r>
            <w:r w:rsidRPr="009C4757">
              <w:rPr>
                <w:rFonts w:asciiTheme="minorHAnsi" w:hAnsiTheme="minorHAnsi"/>
                <w:lang w:eastAsia="en-AU"/>
              </w:rPr>
              <w:t>ndigenous and historical</w:t>
            </w:r>
            <w:r w:rsidR="0017764E">
              <w:rPr>
                <w:rFonts w:asciiTheme="minorHAnsi" w:hAnsiTheme="minorHAnsi"/>
                <w:lang w:eastAsia="en-AU"/>
              </w:rPr>
              <w:t>,</w:t>
            </w:r>
            <w:r w:rsidRPr="009C4757">
              <w:rPr>
                <w:rFonts w:asciiTheme="minorHAnsi" w:hAnsiTheme="minorHAnsi"/>
                <w:lang w:eastAsia="en-AU"/>
              </w:rPr>
              <w:t xml:space="preserve"> in its Heritage Strategy. </w:t>
            </w:r>
          </w:p>
          <w:p w:rsidR="00F7065B" w:rsidRPr="00F05FB3" w:rsidRDefault="00F7065B" w:rsidP="00CF0B3A">
            <w:pPr>
              <w:pStyle w:val="ListParagraph"/>
              <w:numPr>
                <w:ilvl w:val="0"/>
                <w:numId w:val="7"/>
              </w:numPr>
              <w:spacing w:before="60" w:after="60" w:line="240" w:lineRule="auto"/>
              <w:outlineLvl w:val="1"/>
              <w:rPr>
                <w:rFonts w:asciiTheme="minorHAnsi" w:hAnsiTheme="minorHAnsi"/>
                <w:lang w:eastAsia="en-AU"/>
              </w:rPr>
            </w:pPr>
            <w:r>
              <w:rPr>
                <w:rFonts w:asciiTheme="minorHAnsi" w:hAnsiTheme="minorHAnsi"/>
                <w:sz w:val="24"/>
                <w:szCs w:val="24"/>
                <w:lang w:eastAsia="en-AU"/>
              </w:rPr>
              <w:t>C</w:t>
            </w:r>
            <w:r w:rsidRPr="00F05FB3">
              <w:rPr>
                <w:rFonts w:asciiTheme="minorHAnsi" w:hAnsiTheme="minorHAnsi"/>
                <w:lang w:eastAsia="en-AU"/>
              </w:rPr>
              <w:t xml:space="preserve">onserve and recognise Indigenous </w:t>
            </w:r>
            <w:proofErr w:type="gramStart"/>
            <w:r w:rsidRPr="00F05FB3">
              <w:rPr>
                <w:rFonts w:asciiTheme="minorHAnsi" w:hAnsiTheme="minorHAnsi"/>
                <w:lang w:eastAsia="en-AU"/>
              </w:rPr>
              <w:t xml:space="preserve">heritage </w:t>
            </w:r>
            <w:r w:rsidR="00D1224F">
              <w:rPr>
                <w:rFonts w:asciiTheme="minorHAnsi" w:hAnsiTheme="minorHAnsi"/>
                <w:lang w:eastAsia="en-AU"/>
              </w:rPr>
              <w:t>,</w:t>
            </w:r>
            <w:proofErr w:type="gramEnd"/>
            <w:r w:rsidR="00D1224F">
              <w:rPr>
                <w:rFonts w:asciiTheme="minorHAnsi" w:hAnsiTheme="minorHAnsi"/>
                <w:lang w:eastAsia="en-AU"/>
              </w:rPr>
              <w:t xml:space="preserve"> </w:t>
            </w:r>
            <w:r w:rsidRPr="00F05FB3">
              <w:rPr>
                <w:rFonts w:asciiTheme="minorHAnsi" w:hAnsiTheme="minorHAnsi"/>
                <w:lang w:eastAsia="en-AU"/>
              </w:rPr>
              <w:t xml:space="preserve">archaeological sites and </w:t>
            </w:r>
            <w:r w:rsidR="00D1224F">
              <w:rPr>
                <w:rFonts w:asciiTheme="minorHAnsi" w:hAnsiTheme="minorHAnsi"/>
                <w:lang w:eastAsia="en-AU"/>
              </w:rPr>
              <w:t xml:space="preserve">cultural </w:t>
            </w:r>
            <w:r w:rsidRPr="00F05FB3">
              <w:rPr>
                <w:rFonts w:asciiTheme="minorHAnsi" w:hAnsiTheme="minorHAnsi"/>
                <w:lang w:eastAsia="en-AU"/>
              </w:rPr>
              <w:t xml:space="preserve">landscapes. </w:t>
            </w:r>
          </w:p>
          <w:p w:rsidR="00F7065B" w:rsidRPr="00F05FB3" w:rsidRDefault="00F7065B" w:rsidP="00CF0B3A">
            <w:pPr>
              <w:pStyle w:val="ListParagraph"/>
              <w:numPr>
                <w:ilvl w:val="0"/>
                <w:numId w:val="7"/>
              </w:numPr>
              <w:spacing w:before="60" w:after="60" w:line="240" w:lineRule="auto"/>
              <w:outlineLvl w:val="1"/>
              <w:rPr>
                <w:rFonts w:asciiTheme="minorHAnsi" w:hAnsiTheme="minorHAnsi"/>
                <w:lang w:eastAsia="en-AU"/>
              </w:rPr>
            </w:pPr>
            <w:r w:rsidRPr="00F05FB3">
              <w:rPr>
                <w:rFonts w:asciiTheme="minorHAnsi" w:hAnsiTheme="minorHAnsi"/>
                <w:lang w:eastAsia="en-AU"/>
              </w:rPr>
              <w:t xml:space="preserve">Encourage states to provide consistent approaches across states, i.e. archaeological repositories are an issue in NSW while Victoria </w:t>
            </w:r>
            <w:r w:rsidR="00F05FB3">
              <w:rPr>
                <w:rFonts w:asciiTheme="minorHAnsi" w:hAnsiTheme="minorHAnsi"/>
                <w:lang w:eastAsia="en-AU"/>
              </w:rPr>
              <w:t xml:space="preserve">and Queensland </w:t>
            </w:r>
            <w:r w:rsidRPr="00F05FB3">
              <w:rPr>
                <w:rFonts w:asciiTheme="minorHAnsi" w:hAnsiTheme="minorHAnsi"/>
                <w:lang w:eastAsia="en-AU"/>
              </w:rPr>
              <w:t>ha</w:t>
            </w:r>
            <w:r w:rsidR="00F05FB3">
              <w:rPr>
                <w:rFonts w:asciiTheme="minorHAnsi" w:hAnsiTheme="minorHAnsi"/>
                <w:lang w:eastAsia="en-AU"/>
              </w:rPr>
              <w:t>ve</w:t>
            </w:r>
            <w:r w:rsidRPr="00F05FB3">
              <w:rPr>
                <w:rFonts w:asciiTheme="minorHAnsi" w:hAnsiTheme="minorHAnsi"/>
                <w:lang w:eastAsia="en-AU"/>
              </w:rPr>
              <w:t xml:space="preserve"> archaeological repositor</w:t>
            </w:r>
            <w:r w:rsidR="00F05FB3">
              <w:rPr>
                <w:rFonts w:asciiTheme="minorHAnsi" w:hAnsiTheme="minorHAnsi"/>
                <w:lang w:eastAsia="en-AU"/>
              </w:rPr>
              <w:t>ies</w:t>
            </w:r>
            <w:r w:rsidRPr="00F05FB3">
              <w:rPr>
                <w:rFonts w:asciiTheme="minorHAnsi" w:hAnsiTheme="minorHAnsi"/>
                <w:lang w:eastAsia="en-AU"/>
              </w:rPr>
              <w:t xml:space="preserve">.  Important irreplaceable resources </w:t>
            </w:r>
            <w:r w:rsidR="00F05FB3">
              <w:rPr>
                <w:rFonts w:asciiTheme="minorHAnsi" w:hAnsiTheme="minorHAnsi"/>
                <w:lang w:eastAsia="en-AU"/>
              </w:rPr>
              <w:t xml:space="preserve">in NSW </w:t>
            </w:r>
            <w:r w:rsidRPr="00F05FB3">
              <w:rPr>
                <w:rFonts w:asciiTheme="minorHAnsi" w:hAnsiTheme="minorHAnsi"/>
                <w:lang w:eastAsia="en-AU"/>
              </w:rPr>
              <w:t xml:space="preserve">are not centralised and do not provide real opportunities for research for students and the public.  </w:t>
            </w:r>
          </w:p>
          <w:p w:rsidR="00F7065B" w:rsidRPr="00F05FB3" w:rsidRDefault="00F7065B" w:rsidP="00CF0B3A">
            <w:pPr>
              <w:pStyle w:val="ListParagraph"/>
              <w:numPr>
                <w:ilvl w:val="0"/>
                <w:numId w:val="7"/>
              </w:numPr>
              <w:spacing w:before="60" w:after="60" w:line="240" w:lineRule="auto"/>
              <w:outlineLvl w:val="1"/>
              <w:rPr>
                <w:rFonts w:asciiTheme="minorHAnsi" w:hAnsiTheme="minorHAnsi"/>
                <w:lang w:eastAsia="en-AU"/>
              </w:rPr>
            </w:pPr>
            <w:r w:rsidRPr="00F05FB3">
              <w:rPr>
                <w:rFonts w:asciiTheme="minorHAnsi" w:hAnsiTheme="minorHAnsi"/>
                <w:lang w:eastAsia="en-AU"/>
              </w:rPr>
              <w:t xml:space="preserve">National policy for digital archives for </w:t>
            </w:r>
            <w:r w:rsidR="00D1224F">
              <w:rPr>
                <w:rFonts w:asciiTheme="minorHAnsi" w:hAnsiTheme="minorHAnsi"/>
                <w:lang w:eastAsia="en-AU"/>
              </w:rPr>
              <w:t>heritage</w:t>
            </w:r>
            <w:r w:rsidR="00D1224F" w:rsidRPr="00F05FB3">
              <w:rPr>
                <w:rFonts w:asciiTheme="minorHAnsi" w:hAnsiTheme="minorHAnsi"/>
                <w:lang w:eastAsia="en-AU"/>
              </w:rPr>
              <w:t xml:space="preserve"> </w:t>
            </w:r>
            <w:r w:rsidRPr="00F05FB3">
              <w:rPr>
                <w:rFonts w:asciiTheme="minorHAnsi" w:hAnsiTheme="minorHAnsi"/>
                <w:lang w:eastAsia="en-AU"/>
              </w:rPr>
              <w:t>reports</w:t>
            </w:r>
            <w:r w:rsidR="009C4757" w:rsidRPr="00F05FB3">
              <w:rPr>
                <w:rFonts w:asciiTheme="minorHAnsi" w:hAnsiTheme="minorHAnsi"/>
                <w:lang w:eastAsia="en-AU"/>
              </w:rPr>
              <w:t>,</w:t>
            </w:r>
            <w:r w:rsidRPr="00F05FB3">
              <w:rPr>
                <w:rFonts w:asciiTheme="minorHAnsi" w:hAnsiTheme="minorHAnsi"/>
                <w:lang w:eastAsia="en-AU"/>
              </w:rPr>
              <w:t xml:space="preserve"> </w:t>
            </w:r>
            <w:r w:rsidR="00D1224F">
              <w:rPr>
                <w:rFonts w:asciiTheme="minorHAnsi" w:hAnsiTheme="minorHAnsi"/>
                <w:lang w:eastAsia="en-AU"/>
              </w:rPr>
              <w:t xml:space="preserve">including archaeological reports, </w:t>
            </w:r>
            <w:r w:rsidR="009C4757" w:rsidRPr="00F05FB3">
              <w:rPr>
                <w:rFonts w:asciiTheme="minorHAnsi" w:hAnsiTheme="minorHAnsi"/>
                <w:lang w:eastAsia="en-AU"/>
              </w:rPr>
              <w:t xml:space="preserve">primary materials and photo archives. </w:t>
            </w:r>
          </w:p>
          <w:p w:rsidR="009C4757" w:rsidRPr="00F05FB3" w:rsidRDefault="009C4757" w:rsidP="00CF0B3A">
            <w:pPr>
              <w:pStyle w:val="ListParagraph"/>
              <w:numPr>
                <w:ilvl w:val="0"/>
                <w:numId w:val="7"/>
              </w:numPr>
              <w:spacing w:before="60" w:after="60" w:line="240" w:lineRule="auto"/>
              <w:outlineLvl w:val="1"/>
              <w:rPr>
                <w:rFonts w:asciiTheme="minorHAnsi" w:hAnsiTheme="minorHAnsi"/>
                <w:lang w:eastAsia="en-AU"/>
              </w:rPr>
            </w:pPr>
            <w:r w:rsidRPr="00F05FB3">
              <w:rPr>
                <w:rFonts w:asciiTheme="minorHAnsi" w:hAnsiTheme="minorHAnsi"/>
                <w:lang w:eastAsia="en-AU"/>
              </w:rPr>
              <w:t>Recognise need for specialist expertise in government</w:t>
            </w:r>
            <w:r w:rsidR="00AA2FE2" w:rsidRPr="00F05FB3">
              <w:rPr>
                <w:rFonts w:asciiTheme="minorHAnsi" w:hAnsiTheme="minorHAnsi"/>
                <w:lang w:eastAsia="en-AU"/>
              </w:rPr>
              <w:t xml:space="preserve"> and private sector and support this specialist expertise</w:t>
            </w:r>
            <w:r w:rsidRPr="00F05FB3">
              <w:rPr>
                <w:rFonts w:asciiTheme="minorHAnsi" w:hAnsiTheme="minorHAnsi"/>
                <w:lang w:eastAsia="en-AU"/>
              </w:rPr>
              <w:t xml:space="preserve">. </w:t>
            </w:r>
            <w:r w:rsidR="00F05FB3">
              <w:rPr>
                <w:rFonts w:asciiTheme="minorHAnsi" w:hAnsiTheme="minorHAnsi"/>
                <w:lang w:eastAsia="en-AU"/>
              </w:rPr>
              <w:t xml:space="preserve"> </w:t>
            </w:r>
            <w:r w:rsidR="00AA2FE2" w:rsidRPr="00F05FB3">
              <w:rPr>
                <w:rFonts w:asciiTheme="minorHAnsi" w:hAnsiTheme="minorHAnsi"/>
                <w:lang w:eastAsia="en-AU"/>
              </w:rPr>
              <w:t xml:space="preserve">Do not disengage from funding peak organisations such as Australia ICOMOS which is the peak heritage body in Australia.  </w:t>
            </w:r>
          </w:p>
          <w:p w:rsidR="009C4757" w:rsidRPr="00F05FB3" w:rsidRDefault="009C4757" w:rsidP="00CF0B3A">
            <w:pPr>
              <w:pStyle w:val="ListParagraph"/>
              <w:numPr>
                <w:ilvl w:val="0"/>
                <w:numId w:val="7"/>
              </w:numPr>
              <w:spacing w:before="60" w:after="60" w:line="240" w:lineRule="auto"/>
              <w:outlineLvl w:val="1"/>
              <w:rPr>
                <w:rFonts w:asciiTheme="minorHAnsi" w:hAnsiTheme="minorHAnsi"/>
                <w:lang w:eastAsia="en-AU"/>
              </w:rPr>
            </w:pPr>
            <w:r w:rsidRPr="00F05FB3">
              <w:rPr>
                <w:rFonts w:asciiTheme="minorHAnsi" w:hAnsiTheme="minorHAnsi"/>
                <w:lang w:eastAsia="en-AU"/>
              </w:rPr>
              <w:t xml:space="preserve">Provide funding for developing archaeological resources for the National curriculum. </w:t>
            </w:r>
          </w:p>
          <w:p w:rsidR="009C4757" w:rsidRPr="00F05FB3" w:rsidRDefault="00AA2FE2" w:rsidP="00CF0B3A">
            <w:pPr>
              <w:pStyle w:val="ListParagraph"/>
              <w:numPr>
                <w:ilvl w:val="0"/>
                <w:numId w:val="7"/>
              </w:numPr>
              <w:spacing w:before="60" w:after="60" w:line="240" w:lineRule="auto"/>
              <w:outlineLvl w:val="1"/>
              <w:rPr>
                <w:rFonts w:asciiTheme="minorHAnsi" w:hAnsiTheme="minorHAnsi"/>
                <w:lang w:eastAsia="en-AU"/>
              </w:rPr>
            </w:pPr>
            <w:r w:rsidRPr="00F05FB3">
              <w:rPr>
                <w:rFonts w:asciiTheme="minorHAnsi" w:hAnsiTheme="minorHAnsi"/>
                <w:lang w:eastAsia="en-AU"/>
              </w:rPr>
              <w:t>Help ASHA e</w:t>
            </w:r>
            <w:r w:rsidR="009C4757" w:rsidRPr="00F05FB3">
              <w:rPr>
                <w:rFonts w:asciiTheme="minorHAnsi" w:hAnsiTheme="minorHAnsi"/>
                <w:lang w:eastAsia="en-AU"/>
              </w:rPr>
              <w:t>stablish overarching principles for the management of archaeological resources</w:t>
            </w:r>
            <w:r w:rsidRPr="00F05FB3">
              <w:rPr>
                <w:rFonts w:asciiTheme="minorHAnsi" w:hAnsiTheme="minorHAnsi"/>
                <w:lang w:eastAsia="en-AU"/>
              </w:rPr>
              <w:t xml:space="preserve"> - Best Practice management and to improve outcomes for communities so they understand the findings of archaeological programs which frequently offer new insight into the past</w:t>
            </w:r>
            <w:r w:rsidR="009C4757" w:rsidRPr="00F05FB3">
              <w:rPr>
                <w:rFonts w:asciiTheme="minorHAnsi" w:hAnsiTheme="minorHAnsi"/>
                <w:lang w:eastAsia="en-AU"/>
              </w:rPr>
              <w:t xml:space="preserve">. </w:t>
            </w:r>
          </w:p>
          <w:p w:rsidR="008F10D7" w:rsidRDefault="009C4757" w:rsidP="00F601FD">
            <w:pPr>
              <w:pStyle w:val="ListParagraph"/>
              <w:numPr>
                <w:ilvl w:val="0"/>
                <w:numId w:val="7"/>
              </w:numPr>
              <w:spacing w:before="60" w:after="60" w:line="240" w:lineRule="auto"/>
              <w:outlineLvl w:val="1"/>
              <w:rPr>
                <w:rFonts w:asciiTheme="minorHAnsi" w:hAnsiTheme="minorHAnsi"/>
                <w:lang w:eastAsia="en-AU"/>
              </w:rPr>
            </w:pPr>
            <w:r w:rsidRPr="00F05FB3">
              <w:rPr>
                <w:rFonts w:asciiTheme="minorHAnsi" w:hAnsiTheme="minorHAnsi"/>
                <w:lang w:eastAsia="en-AU"/>
              </w:rPr>
              <w:t>Provide grants to encourage research outcomes from archaeological consulting projects</w:t>
            </w:r>
            <w:r w:rsidR="0017764E" w:rsidRPr="00F05FB3">
              <w:rPr>
                <w:rFonts w:asciiTheme="minorHAnsi" w:hAnsiTheme="minorHAnsi"/>
                <w:lang w:eastAsia="en-AU"/>
              </w:rPr>
              <w:t>.  T</w:t>
            </w:r>
            <w:r w:rsidRPr="00F05FB3">
              <w:rPr>
                <w:rFonts w:asciiTheme="minorHAnsi" w:hAnsiTheme="minorHAnsi"/>
                <w:lang w:eastAsia="en-AU"/>
              </w:rPr>
              <w:t>hese are not typically funded by ARC programs</w:t>
            </w:r>
            <w:r w:rsidR="002F4BCF" w:rsidRPr="00F05FB3">
              <w:rPr>
                <w:rFonts w:asciiTheme="minorHAnsi" w:hAnsiTheme="minorHAnsi"/>
                <w:lang w:eastAsia="en-AU"/>
              </w:rPr>
              <w:t xml:space="preserve"> or other grant program</w:t>
            </w:r>
            <w:r w:rsidR="009907AE" w:rsidRPr="00F05FB3">
              <w:rPr>
                <w:rFonts w:asciiTheme="minorHAnsi" w:hAnsiTheme="minorHAnsi"/>
                <w:lang w:eastAsia="en-AU"/>
              </w:rPr>
              <w:t>s</w:t>
            </w:r>
            <w:r w:rsidRPr="00F05FB3">
              <w:rPr>
                <w:rFonts w:asciiTheme="minorHAnsi" w:hAnsiTheme="minorHAnsi"/>
                <w:lang w:eastAsia="en-AU"/>
              </w:rPr>
              <w:t xml:space="preserve">.  </w:t>
            </w:r>
            <w:r w:rsidR="002F4BCF" w:rsidRPr="00F05FB3">
              <w:rPr>
                <w:rFonts w:asciiTheme="minorHAnsi" w:hAnsiTheme="minorHAnsi"/>
                <w:lang w:eastAsia="en-AU"/>
              </w:rPr>
              <w:t xml:space="preserve">At a minimum make archaeological research programs eligible for grant funding.  These research outcomes could feed into community engagement and involvement in archaeological heritage.  </w:t>
            </w:r>
          </w:p>
          <w:p w:rsidR="002C17F1" w:rsidRPr="00F601FD" w:rsidRDefault="002C17F1" w:rsidP="00291251">
            <w:pPr>
              <w:pStyle w:val="ListParagraph"/>
              <w:numPr>
                <w:ilvl w:val="0"/>
                <w:numId w:val="7"/>
              </w:numPr>
              <w:spacing w:before="60" w:after="60" w:line="240" w:lineRule="auto"/>
              <w:outlineLvl w:val="1"/>
              <w:rPr>
                <w:rFonts w:asciiTheme="minorHAnsi" w:hAnsiTheme="minorHAnsi"/>
                <w:lang w:eastAsia="en-AU"/>
              </w:rPr>
            </w:pPr>
            <w:r>
              <w:rPr>
                <w:rFonts w:asciiTheme="minorHAnsi" w:hAnsiTheme="minorHAnsi"/>
                <w:lang w:eastAsia="en-AU"/>
              </w:rPr>
              <w:t xml:space="preserve">Acknowledge and value the results of archaeological </w:t>
            </w:r>
            <w:r w:rsidR="00291251">
              <w:rPr>
                <w:rFonts w:asciiTheme="minorHAnsi" w:hAnsiTheme="minorHAnsi"/>
                <w:lang w:eastAsia="en-AU"/>
              </w:rPr>
              <w:t>research</w:t>
            </w:r>
            <w:r>
              <w:rPr>
                <w:rFonts w:asciiTheme="minorHAnsi" w:hAnsiTheme="minorHAnsi"/>
                <w:lang w:eastAsia="en-AU"/>
              </w:rPr>
              <w:t xml:space="preserve"> to provide new, different, alternative views of the past which contest received histories.  Archaeological research on significant sites provides opportunities for the voices of convicts, women, children and other groups to be heard beyond the pages of history books.  </w:t>
            </w: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 xml:space="preserve">Can you provide examples of successful innovative partnerships you or your organisation have </w:t>
            </w:r>
            <w:r w:rsidRPr="005D4CD1">
              <w:rPr>
                <w:rFonts w:ascii="Arial" w:hAnsi="Arial" w:cs="Arial"/>
              </w:rPr>
              <w:lastRenderedPageBreak/>
              <w:t>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9C4757" w:rsidRPr="00F05FB3" w:rsidRDefault="009C4757" w:rsidP="00F05FB3">
            <w:pPr>
              <w:pStyle w:val="Bullet"/>
            </w:pPr>
            <w:r w:rsidRPr="009907AE">
              <w:rPr>
                <w:sz w:val="24"/>
              </w:rPr>
              <w:lastRenderedPageBreak/>
              <w:t>D</w:t>
            </w:r>
            <w:r w:rsidRPr="00F05FB3">
              <w:t xml:space="preserve">evelopment of partnerships between Commonwealth &amp; State government and peak representative bodies.  </w:t>
            </w:r>
            <w:r w:rsidR="00F601FD">
              <w:t>There should be a National peak advisory body, other than the Australian Heritage Council, to pro</w:t>
            </w:r>
            <w:r w:rsidR="00291251">
              <w:t>vide government advice and feed</w:t>
            </w:r>
            <w:r w:rsidR="00F601FD">
              <w:t xml:space="preserve">back to and from peak representative bodies.  </w:t>
            </w:r>
            <w:r w:rsidRPr="00F05FB3">
              <w:t xml:space="preserve"> </w:t>
            </w:r>
          </w:p>
          <w:p w:rsidR="009C4757" w:rsidRPr="00F05FB3" w:rsidRDefault="009C4757" w:rsidP="00F05FB3">
            <w:pPr>
              <w:pStyle w:val="Bullet"/>
            </w:pPr>
            <w:r w:rsidRPr="00F05FB3">
              <w:t xml:space="preserve">Funding </w:t>
            </w:r>
            <w:r w:rsidR="00F05FB3" w:rsidRPr="00F05FB3">
              <w:t>the</w:t>
            </w:r>
            <w:r w:rsidRPr="00F05FB3">
              <w:t xml:space="preserve"> creation of new archaeological and heritage curriculum materials through grants via peak bodies. </w:t>
            </w:r>
          </w:p>
          <w:p w:rsidR="009C4757" w:rsidRPr="00F05FB3" w:rsidRDefault="009C4757" w:rsidP="00F05FB3">
            <w:pPr>
              <w:pStyle w:val="Bullet"/>
            </w:pPr>
            <w:r w:rsidRPr="00F05FB3">
              <w:t xml:space="preserve">Use the Green Army in heritage conservation work with appropriate supervision and training from heritage experts.  This will encourage their engagement and knowledge of heritage and they in turn will take it back to their local community. The supervision needs to be managed through local councils in consultation with State heritage agencies.  </w:t>
            </w:r>
          </w:p>
          <w:p w:rsidR="009C4757" w:rsidRDefault="009C4757" w:rsidP="00F05FB3">
            <w:pPr>
              <w:pStyle w:val="Bullet"/>
            </w:pPr>
            <w:r w:rsidRPr="00F05FB3">
              <w:t xml:space="preserve">Encourage </w:t>
            </w:r>
            <w:r w:rsidR="00D1224F">
              <w:t xml:space="preserve">partnerships with </w:t>
            </w:r>
            <w:r w:rsidRPr="00F05FB3">
              <w:t xml:space="preserve">State and Commonwealth </w:t>
            </w:r>
            <w:r w:rsidR="00D1224F">
              <w:t>departments/</w:t>
            </w:r>
            <w:r w:rsidRPr="00F05FB3">
              <w:t xml:space="preserve">museums to value archaeological collections and present exhibitions of archaeological material, both historical and Aboriginal.  </w:t>
            </w:r>
            <w:r w:rsidR="00D60AEB" w:rsidRPr="00F05FB3">
              <w:t xml:space="preserve">This is currently not seen as ‘sexy’ and </w:t>
            </w:r>
            <w:r w:rsidR="001609AB" w:rsidRPr="00F05FB3">
              <w:t xml:space="preserve">a topic in which </w:t>
            </w:r>
            <w:r w:rsidR="00D60AEB" w:rsidRPr="00F05FB3">
              <w:t xml:space="preserve">the public is </w:t>
            </w:r>
            <w:r w:rsidR="009907AE" w:rsidRPr="00F05FB3">
              <w:t xml:space="preserve">seen as not </w:t>
            </w:r>
            <w:r w:rsidR="00D60AEB" w:rsidRPr="00F05FB3">
              <w:t>interested</w:t>
            </w:r>
            <w:r w:rsidR="00D1224F">
              <w:t xml:space="preserve"> but they are quite interested</w:t>
            </w:r>
          </w:p>
          <w:p w:rsidR="00291251" w:rsidRDefault="00291251" w:rsidP="00F05FB3">
            <w:pPr>
              <w:pStyle w:val="Bullet"/>
            </w:pPr>
            <w:r>
              <w:t xml:space="preserve">Develop opportunities for the involvement of philanthropy in heritage projects.  </w:t>
            </w:r>
          </w:p>
          <w:p w:rsidR="00D1224F" w:rsidRPr="00D1224F" w:rsidRDefault="00D1224F" w:rsidP="00D1224F">
            <w:pPr>
              <w:pStyle w:val="Bullet"/>
              <w:numPr>
                <w:ilvl w:val="0"/>
                <w:numId w:val="0"/>
              </w:numPr>
              <w:rPr>
                <w:b/>
              </w:rPr>
            </w:pPr>
            <w:r w:rsidRPr="00D1224F">
              <w:rPr>
                <w:b/>
              </w:rPr>
              <w:t xml:space="preserve">Examples of innovative </w:t>
            </w:r>
            <w:r w:rsidR="00975421">
              <w:rPr>
                <w:b/>
              </w:rPr>
              <w:t>partnerships</w:t>
            </w:r>
          </w:p>
          <w:p w:rsidR="001609AB" w:rsidRPr="00F05FB3" w:rsidRDefault="001609AB" w:rsidP="00F05FB3">
            <w:pPr>
              <w:pStyle w:val="Bullet"/>
            </w:pPr>
            <w:r w:rsidRPr="00F05FB3">
              <w:rPr>
                <w:szCs w:val="24"/>
              </w:rPr>
              <w:t xml:space="preserve">The Big Dig centre in the Rocks, Sydney was developed as a partnership between Sydney </w:t>
            </w:r>
            <w:r w:rsidR="00F601FD">
              <w:t xml:space="preserve">Harbour Foreshore Authority, </w:t>
            </w:r>
            <w:r w:rsidRPr="00F05FB3">
              <w:t xml:space="preserve">Youth Hostels Association </w:t>
            </w:r>
            <w:r w:rsidR="00F601FD">
              <w:t xml:space="preserve">and </w:t>
            </w:r>
            <w:r w:rsidR="00D1224F">
              <w:t>GML Heritage</w:t>
            </w:r>
            <w:r w:rsidR="00F601FD">
              <w:t xml:space="preserve"> </w:t>
            </w:r>
            <w:r w:rsidRPr="00F05FB3">
              <w:t xml:space="preserve">and has been highly successful as accommodation for tourists, providing opportunities for tourists and visitors to engage with </w:t>
            </w:r>
            <w:r w:rsidRPr="00F05FB3">
              <w:rPr>
                <w:i/>
              </w:rPr>
              <w:t>in situ</w:t>
            </w:r>
            <w:r w:rsidRPr="00F05FB3">
              <w:t xml:space="preserve"> archaeology. </w:t>
            </w:r>
            <w:r w:rsidR="00975421">
              <w:t xml:space="preserve"> </w:t>
            </w:r>
          </w:p>
          <w:p w:rsidR="00291251" w:rsidRDefault="00291251" w:rsidP="00291251">
            <w:pPr>
              <w:pStyle w:val="Bullet"/>
            </w:pPr>
            <w:r>
              <w:t>The Australian Maritime Museum obtains philanthropic funding for its survey of shipwrecks</w:t>
            </w:r>
            <w:r w:rsidR="00BF018B">
              <w:t xml:space="preserve"> in the </w:t>
            </w:r>
            <w:proofErr w:type="gramStart"/>
            <w:r w:rsidR="00BF018B">
              <w:t>great</w:t>
            </w:r>
            <w:proofErr w:type="gramEnd"/>
            <w:r w:rsidR="00BF018B">
              <w:t xml:space="preserve"> Barrier Reef</w:t>
            </w:r>
            <w:r>
              <w:t xml:space="preserve">. </w:t>
            </w:r>
            <w:r w:rsidR="004F1E73">
              <w:t xml:space="preserve">  </w:t>
            </w:r>
          </w:p>
          <w:p w:rsidR="00291251" w:rsidRDefault="00291251" w:rsidP="00291251">
            <w:pPr>
              <w:pStyle w:val="Bullet"/>
            </w:pPr>
            <w:r>
              <w:t xml:space="preserve">The Archaeology of the Modern City project, which </w:t>
            </w:r>
            <w:r w:rsidR="00716E3A">
              <w:t xml:space="preserve">Latrobe University lead </w:t>
            </w:r>
            <w:r>
              <w:t xml:space="preserve">involved </w:t>
            </w:r>
            <w:r w:rsidR="00716E3A">
              <w:t>State government agencies</w:t>
            </w:r>
            <w:r>
              <w:t xml:space="preserve"> and consultants, produced substantial analysis and publication of archaeological sites in Sydney and Melbourne.  </w:t>
            </w:r>
          </w:p>
          <w:p w:rsidR="00716E3A" w:rsidRDefault="00716E3A" w:rsidP="00291251">
            <w:pPr>
              <w:pStyle w:val="Bullet"/>
            </w:pPr>
            <w:r>
              <w:t xml:space="preserve">The Dept of Archaeology, University of Sydney </w:t>
            </w:r>
            <w:r w:rsidR="004F1E73">
              <w:t>is working on a project</w:t>
            </w:r>
            <w:r>
              <w:t xml:space="preserve"> with Port Arthur to re-examine old archaeological projects </w:t>
            </w:r>
            <w:r w:rsidR="004F1E73">
              <w:t xml:space="preserve">which </w:t>
            </w:r>
            <w:r>
              <w:t>have not been written up</w:t>
            </w:r>
            <w:r w:rsidR="004F1E73">
              <w:t>.  St</w:t>
            </w:r>
            <w:r>
              <w:t xml:space="preserve">udents produce Honours thesis </w:t>
            </w:r>
            <w:r w:rsidR="004F1E73">
              <w:t xml:space="preserve">from this research which </w:t>
            </w:r>
            <w:r>
              <w:t>provides Port Arthur with new knowledge about import early archaeological projects</w:t>
            </w:r>
            <w:r w:rsidR="004F1E73">
              <w:t xml:space="preserve"> which feeds into their public programs</w:t>
            </w:r>
            <w:r>
              <w:t xml:space="preserve">. </w:t>
            </w:r>
          </w:p>
          <w:p w:rsidR="005D4CD1" w:rsidRPr="00F05FB3" w:rsidRDefault="00D1224F" w:rsidP="00291251">
            <w:pPr>
              <w:pStyle w:val="Bullet"/>
            </w:pPr>
            <w:r>
              <w:t xml:space="preserve">Casey &amp; Lowe </w:t>
            </w:r>
            <w:r w:rsidR="009C4757" w:rsidRPr="00F05FB3">
              <w:t>undertook a partnership exhibition with the Parramatta Heritage Centre on archaeological sites in Parramatta</w:t>
            </w:r>
            <w:r w:rsidR="00F05FB3" w:rsidRPr="00F05FB3">
              <w:t xml:space="preserve"> in 2009</w:t>
            </w:r>
            <w:r w:rsidR="009C4757" w:rsidRPr="00F05FB3">
              <w:t>.  This was the first specific exhibition on the archaeology of Parramatta.  It was very successful in terms of public outcomes</w:t>
            </w:r>
            <w:r w:rsidR="004F1E73">
              <w:t>, publication</w:t>
            </w:r>
            <w:r w:rsidR="009C4757" w:rsidRPr="00F05FB3">
              <w:t xml:space="preserve"> and presentations of the results of a number of archaeological programs in Parramatta.</w:t>
            </w:r>
            <w:r w:rsidR="009C4757" w:rsidRPr="009907AE">
              <w:rPr>
                <w:sz w:val="24"/>
                <w:szCs w:val="24"/>
              </w:rPr>
              <w:t xml:space="preserve"> </w:t>
            </w:r>
          </w:p>
          <w:p w:rsidR="00F05FB3" w:rsidRDefault="00D1224F" w:rsidP="00A02078">
            <w:pPr>
              <w:pStyle w:val="Bullet"/>
            </w:pPr>
            <w:r w:rsidRPr="00D1224F">
              <w:t>Casey &amp; Lowe</w:t>
            </w:r>
            <w:r w:rsidR="00F05FB3" w:rsidRPr="00F05FB3">
              <w:t xml:space="preserve"> recently developed</w:t>
            </w:r>
            <w:r w:rsidR="006D4AE0">
              <w:t>, funded</w:t>
            </w:r>
            <w:r w:rsidR="00F05FB3" w:rsidRPr="00F05FB3">
              <w:t xml:space="preserve"> and set up a temporary exhibition in Holbrook at the National Museum of Australian Pottery on Thomas Ball</w:t>
            </w:r>
            <w:r w:rsidR="00291251">
              <w:t>,</w:t>
            </w:r>
            <w:r w:rsidR="00F05FB3" w:rsidRPr="00F05FB3">
              <w:t xml:space="preserve"> Convict Potter (c. 1801-1823).  This </w:t>
            </w:r>
            <w:r w:rsidR="00A02078">
              <w:t xml:space="preserve">exhibition </w:t>
            </w:r>
            <w:r w:rsidR="004F1E73">
              <w:t>displays</w:t>
            </w:r>
            <w:r w:rsidR="00A02078">
              <w:t xml:space="preserve"> </w:t>
            </w:r>
            <w:r w:rsidR="00F05FB3" w:rsidRPr="00F05FB3">
              <w:t xml:space="preserve">pottery recovered from the earliest pottery site excavated in Australia. </w:t>
            </w:r>
            <w:r w:rsidR="00F05FB3">
              <w:t xml:space="preserve"> </w:t>
            </w:r>
            <w:r w:rsidR="00F05FB3" w:rsidRPr="00F05FB3">
              <w:t xml:space="preserve">It is on </w:t>
            </w:r>
            <w:r w:rsidR="00A02078">
              <w:t xml:space="preserve">an </w:t>
            </w:r>
            <w:r w:rsidR="006D4AE0">
              <w:t>eight</w:t>
            </w:r>
            <w:r w:rsidR="00F05FB3" w:rsidRPr="00F05FB3">
              <w:t xml:space="preserve"> months exhibition in a privately run museum</w:t>
            </w:r>
            <w:r w:rsidR="00F05FB3">
              <w:t>.  Th</w:t>
            </w:r>
            <w:r w:rsidR="00291251">
              <w:t xml:space="preserve">ese artefacts are </w:t>
            </w:r>
            <w:r w:rsidR="00F05FB3">
              <w:t xml:space="preserve">extremely </w:t>
            </w:r>
            <w:r w:rsidR="006D4AE0">
              <w:t>significant</w:t>
            </w:r>
            <w:r w:rsidR="00A02078">
              <w:t xml:space="preserve">. </w:t>
            </w:r>
            <w:r w:rsidR="00291251">
              <w:t xml:space="preserve"> </w:t>
            </w:r>
            <w:r w:rsidR="00A02078">
              <w:t xml:space="preserve">If </w:t>
            </w:r>
            <w:r w:rsidR="00291251">
              <w:t xml:space="preserve">they were </w:t>
            </w:r>
            <w:r w:rsidR="00A02078">
              <w:t xml:space="preserve">not on exhibition </w:t>
            </w:r>
            <w:r w:rsidR="00291251">
              <w:t>they</w:t>
            </w:r>
            <w:r w:rsidR="006D4AE0">
              <w:t xml:space="preserve"> </w:t>
            </w:r>
            <w:r w:rsidR="00A02078">
              <w:t>would be stored i</w:t>
            </w:r>
            <w:r w:rsidR="00F05FB3">
              <w:t>n cupboards in the new</w:t>
            </w:r>
            <w:r w:rsidR="004F1E73">
              <w:t>ly</w:t>
            </w:r>
            <w:r w:rsidR="00F05FB3">
              <w:t xml:space="preserve"> building built on the site</w:t>
            </w:r>
            <w:r w:rsidR="006D4AE0">
              <w:t xml:space="preserve"> in the Haymarket</w:t>
            </w:r>
            <w:r w:rsidR="00A02078">
              <w:t xml:space="preserve">, </w:t>
            </w:r>
            <w:r w:rsidR="006D4AE0">
              <w:t>Sydney</w:t>
            </w:r>
            <w:r w:rsidR="00F05FB3">
              <w:t xml:space="preserve">.  </w:t>
            </w:r>
          </w:p>
          <w:p w:rsidR="00291251" w:rsidRDefault="00291251" w:rsidP="00716E3A">
            <w:pPr>
              <w:pStyle w:val="Bullet"/>
            </w:pPr>
            <w:r>
              <w:t xml:space="preserve"> </w:t>
            </w:r>
            <w:r w:rsidR="00716E3A">
              <w:t>The Archaeology of Sydney Research Group</w:t>
            </w:r>
            <w:r w:rsidR="00BF018B">
              <w:t xml:space="preserve"> </w:t>
            </w:r>
            <w:r w:rsidR="00716E3A">
              <w:t xml:space="preserve">and the Fisher Library, University of Sydney has created NSW Archaeology online, an important repository of archaeological reports.  This was funded by the NSW Heritage Council. </w:t>
            </w:r>
            <w:r w:rsidR="004F1E73">
              <w:t xml:space="preserve"> These reports are available to the community generally.  </w:t>
            </w:r>
          </w:p>
          <w:p w:rsidR="004C1B4A" w:rsidRDefault="00716E3A" w:rsidP="00716E3A">
            <w:pPr>
              <w:pStyle w:val="Bullet"/>
            </w:pPr>
            <w:r>
              <w:t xml:space="preserve">Latrobe University, working on the cultural landscape of water management in the Victorian goldfields </w:t>
            </w:r>
            <w:r w:rsidR="00BF018B">
              <w:t xml:space="preserve">coordinating with </w:t>
            </w:r>
            <w:r>
              <w:t>local community groups and a multi-disciplinary group of researchers</w:t>
            </w:r>
            <w:r w:rsidR="004C1B4A">
              <w:t xml:space="preserve">. </w:t>
            </w:r>
          </w:p>
          <w:p w:rsidR="00716E3A" w:rsidRPr="00F05FB3" w:rsidRDefault="004C1B4A" w:rsidP="004C1B4A">
            <w:pPr>
              <w:pStyle w:val="Bullet"/>
            </w:pPr>
            <w:r>
              <w:t xml:space="preserve">Latrobe University recently finished an ARC research project on the archaeology of Hyde Park Barracks associated with the Asylum period of use.  A book on this research has just been published by the research team as part of an ASHA publication series.  </w:t>
            </w: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9C4757" w:rsidRPr="00975421" w:rsidRDefault="009C4757" w:rsidP="00975421">
            <w:pPr>
              <w:pStyle w:val="ListParagraph"/>
              <w:numPr>
                <w:ilvl w:val="0"/>
                <w:numId w:val="13"/>
              </w:numPr>
              <w:spacing w:before="60" w:after="60" w:line="240" w:lineRule="auto"/>
              <w:jc w:val="both"/>
              <w:outlineLvl w:val="1"/>
              <w:rPr>
                <w:rFonts w:asciiTheme="minorHAnsi" w:hAnsiTheme="minorHAnsi"/>
                <w:lang w:eastAsia="en-AU"/>
              </w:rPr>
            </w:pPr>
            <w:r w:rsidRPr="00975421">
              <w:rPr>
                <w:rFonts w:asciiTheme="minorHAnsi" w:hAnsiTheme="minorHAnsi"/>
                <w:lang w:eastAsia="en-AU"/>
              </w:rPr>
              <w:t xml:space="preserve">Local communities frequently already understand the significance of their local heritage.  It is after all local </w:t>
            </w:r>
            <w:r w:rsidR="009907AE" w:rsidRPr="00975421">
              <w:rPr>
                <w:rFonts w:asciiTheme="minorHAnsi" w:hAnsiTheme="minorHAnsi"/>
                <w:lang w:eastAsia="en-AU"/>
              </w:rPr>
              <w:t xml:space="preserve">communities </w:t>
            </w:r>
            <w:r w:rsidRPr="00975421">
              <w:rPr>
                <w:rFonts w:asciiTheme="minorHAnsi" w:hAnsiTheme="minorHAnsi"/>
                <w:lang w:eastAsia="en-AU"/>
              </w:rPr>
              <w:t>who have managed it up to this day</w:t>
            </w:r>
            <w:r w:rsidR="001609AB" w:rsidRPr="00975421">
              <w:rPr>
                <w:rFonts w:asciiTheme="minorHAnsi" w:hAnsiTheme="minorHAnsi"/>
                <w:lang w:eastAsia="en-AU"/>
              </w:rPr>
              <w:t xml:space="preserve">, who have </w:t>
            </w:r>
            <w:r w:rsidR="009907AE" w:rsidRPr="00975421">
              <w:rPr>
                <w:rFonts w:asciiTheme="minorHAnsi" w:hAnsiTheme="minorHAnsi"/>
                <w:lang w:eastAsia="en-AU"/>
              </w:rPr>
              <w:t xml:space="preserve">often </w:t>
            </w:r>
            <w:r w:rsidR="001609AB" w:rsidRPr="00975421">
              <w:rPr>
                <w:rFonts w:asciiTheme="minorHAnsi" w:hAnsiTheme="minorHAnsi"/>
                <w:lang w:eastAsia="en-AU"/>
              </w:rPr>
              <w:t>fought to save buildings and sites</w:t>
            </w:r>
            <w:r w:rsidR="00B9664E">
              <w:rPr>
                <w:rFonts w:asciiTheme="minorHAnsi" w:hAnsiTheme="minorHAnsi"/>
                <w:lang w:eastAsia="en-AU"/>
              </w:rPr>
              <w:t xml:space="preserve"> in the absence of other sources of funding</w:t>
            </w:r>
            <w:r w:rsidRPr="00975421">
              <w:rPr>
                <w:rFonts w:asciiTheme="minorHAnsi" w:hAnsiTheme="minorHAnsi"/>
                <w:lang w:eastAsia="en-AU"/>
              </w:rPr>
              <w:t xml:space="preserve">.  </w:t>
            </w:r>
          </w:p>
          <w:p w:rsidR="009C4757" w:rsidRPr="00975421" w:rsidRDefault="00B9664E" w:rsidP="00975421">
            <w:pPr>
              <w:pStyle w:val="ListParagraph"/>
              <w:numPr>
                <w:ilvl w:val="0"/>
                <w:numId w:val="13"/>
              </w:numPr>
              <w:spacing w:before="60" w:after="60" w:line="240" w:lineRule="auto"/>
              <w:jc w:val="both"/>
              <w:outlineLvl w:val="1"/>
              <w:rPr>
                <w:rFonts w:asciiTheme="minorHAnsi" w:hAnsiTheme="minorHAnsi"/>
                <w:lang w:eastAsia="en-AU"/>
              </w:rPr>
            </w:pPr>
            <w:r>
              <w:rPr>
                <w:rFonts w:asciiTheme="minorHAnsi" w:hAnsiTheme="minorHAnsi"/>
                <w:lang w:eastAsia="en-AU"/>
              </w:rPr>
              <w:t xml:space="preserve">One </w:t>
            </w:r>
            <w:proofErr w:type="gramStart"/>
            <w:r w:rsidR="009C4757" w:rsidRPr="00975421">
              <w:rPr>
                <w:rFonts w:asciiTheme="minorHAnsi" w:hAnsiTheme="minorHAnsi"/>
                <w:lang w:eastAsia="en-AU"/>
              </w:rPr>
              <w:t>issues</w:t>
            </w:r>
            <w:proofErr w:type="gramEnd"/>
            <w:r w:rsidR="009C4757" w:rsidRPr="00975421">
              <w:rPr>
                <w:rFonts w:asciiTheme="minorHAnsi" w:hAnsiTheme="minorHAnsi"/>
                <w:lang w:eastAsia="en-AU"/>
              </w:rPr>
              <w:t xml:space="preserve"> is that local communities are frequently not able to be involved when specialist</w:t>
            </w:r>
            <w:r w:rsidR="003B28CC" w:rsidRPr="00975421">
              <w:rPr>
                <w:rFonts w:asciiTheme="minorHAnsi" w:hAnsiTheme="minorHAnsi"/>
                <w:lang w:eastAsia="en-AU"/>
              </w:rPr>
              <w:t>s</w:t>
            </w:r>
            <w:r w:rsidR="009C4757" w:rsidRPr="00975421">
              <w:rPr>
                <w:rFonts w:asciiTheme="minorHAnsi" w:hAnsiTheme="minorHAnsi"/>
                <w:lang w:eastAsia="en-AU"/>
              </w:rPr>
              <w:t xml:space="preserve"> are working on local projects.  Sometimes there is </w:t>
            </w:r>
            <w:proofErr w:type="gramStart"/>
            <w:r w:rsidR="000F44A9" w:rsidRPr="00975421">
              <w:rPr>
                <w:rFonts w:asciiTheme="minorHAnsi" w:hAnsiTheme="minorHAnsi"/>
                <w:lang w:eastAsia="en-AU"/>
              </w:rPr>
              <w:t xml:space="preserve">a </w:t>
            </w:r>
            <w:r w:rsidR="001609AB" w:rsidRPr="00975421">
              <w:rPr>
                <w:rFonts w:asciiTheme="minorHAnsi" w:hAnsiTheme="minorHAnsi"/>
                <w:lang w:eastAsia="en-AU"/>
              </w:rPr>
              <w:t>disconnect</w:t>
            </w:r>
            <w:proofErr w:type="gramEnd"/>
            <w:r w:rsidR="001609AB" w:rsidRPr="00975421">
              <w:rPr>
                <w:rFonts w:asciiTheme="minorHAnsi" w:hAnsiTheme="minorHAnsi"/>
                <w:lang w:eastAsia="en-AU"/>
              </w:rPr>
              <w:t xml:space="preserve"> due to development pressures and Health &amp; Safety issues.</w:t>
            </w:r>
            <w:r w:rsidR="00602F27" w:rsidRPr="00975421">
              <w:rPr>
                <w:rFonts w:asciiTheme="minorHAnsi" w:hAnsiTheme="minorHAnsi"/>
                <w:lang w:eastAsia="en-AU"/>
              </w:rPr>
              <w:t xml:space="preserve"> </w:t>
            </w:r>
            <w:r w:rsidR="001609AB" w:rsidRPr="00975421">
              <w:rPr>
                <w:rFonts w:asciiTheme="minorHAnsi" w:hAnsiTheme="minorHAnsi"/>
                <w:lang w:eastAsia="en-AU"/>
              </w:rPr>
              <w:t xml:space="preserve"> Find opportunities to</w:t>
            </w:r>
            <w:r>
              <w:rPr>
                <w:rFonts w:asciiTheme="minorHAnsi" w:hAnsiTheme="minorHAnsi"/>
                <w:lang w:eastAsia="en-AU"/>
              </w:rPr>
              <w:t xml:space="preserve"> provide the public with involvement in heritage projects</w:t>
            </w:r>
            <w:r w:rsidR="000F44A9" w:rsidRPr="00975421">
              <w:rPr>
                <w:rFonts w:asciiTheme="minorHAnsi" w:hAnsiTheme="minorHAnsi"/>
                <w:lang w:eastAsia="en-AU"/>
              </w:rPr>
              <w:t xml:space="preserve">. </w:t>
            </w:r>
          </w:p>
          <w:p w:rsidR="009C4757" w:rsidRPr="00975421" w:rsidRDefault="009C4757" w:rsidP="00975421">
            <w:pPr>
              <w:pStyle w:val="ListParagraph"/>
              <w:numPr>
                <w:ilvl w:val="0"/>
                <w:numId w:val="13"/>
              </w:numPr>
              <w:spacing w:before="60" w:after="60" w:line="240" w:lineRule="auto"/>
              <w:jc w:val="both"/>
              <w:outlineLvl w:val="1"/>
              <w:rPr>
                <w:rFonts w:asciiTheme="minorHAnsi" w:hAnsiTheme="minorHAnsi"/>
                <w:lang w:eastAsia="en-AU"/>
              </w:rPr>
            </w:pPr>
            <w:r w:rsidRPr="00975421">
              <w:rPr>
                <w:rFonts w:asciiTheme="minorHAnsi" w:hAnsiTheme="minorHAnsi"/>
                <w:lang w:eastAsia="en-AU"/>
              </w:rPr>
              <w:t>Develop national curriculum materials in association with peak bodies and local communities.</w:t>
            </w:r>
            <w:r w:rsidR="000F44A9" w:rsidRPr="00975421">
              <w:rPr>
                <w:rFonts w:asciiTheme="minorHAnsi" w:hAnsiTheme="minorHAnsi"/>
                <w:lang w:eastAsia="en-AU"/>
              </w:rPr>
              <w:t xml:space="preserve"> ASHA is in the process of establishing a Curriculum Committee so we can find funds to provide grants to develop curriculum materials for significant archaeological projects throughout Australia.   </w:t>
            </w:r>
          </w:p>
          <w:p w:rsidR="001609AB" w:rsidRPr="00975421" w:rsidRDefault="009C4757" w:rsidP="00975421">
            <w:pPr>
              <w:pStyle w:val="ListParagraph"/>
              <w:numPr>
                <w:ilvl w:val="0"/>
                <w:numId w:val="13"/>
              </w:numPr>
              <w:spacing w:before="60" w:after="60" w:line="240" w:lineRule="auto"/>
              <w:jc w:val="both"/>
              <w:outlineLvl w:val="1"/>
              <w:rPr>
                <w:rFonts w:asciiTheme="minorHAnsi" w:hAnsiTheme="minorHAnsi"/>
                <w:lang w:eastAsia="en-AU"/>
              </w:rPr>
            </w:pPr>
            <w:r w:rsidRPr="00975421">
              <w:rPr>
                <w:rFonts w:asciiTheme="minorHAnsi" w:hAnsiTheme="minorHAnsi"/>
                <w:lang w:eastAsia="en-AU"/>
              </w:rPr>
              <w:t xml:space="preserve">Promoting of </w:t>
            </w:r>
            <w:r w:rsidR="000F44A9" w:rsidRPr="00975421">
              <w:rPr>
                <w:rFonts w:asciiTheme="minorHAnsi" w:hAnsiTheme="minorHAnsi"/>
                <w:lang w:eastAsia="en-AU"/>
              </w:rPr>
              <w:t xml:space="preserve">archaeological </w:t>
            </w:r>
            <w:r w:rsidRPr="00975421">
              <w:rPr>
                <w:rFonts w:asciiTheme="minorHAnsi" w:hAnsiTheme="minorHAnsi"/>
                <w:lang w:eastAsia="en-AU"/>
              </w:rPr>
              <w:t xml:space="preserve">heritage in Parramatta and Sydney </w:t>
            </w:r>
            <w:r w:rsidR="00602F27" w:rsidRPr="00975421">
              <w:rPr>
                <w:rFonts w:asciiTheme="minorHAnsi" w:hAnsiTheme="minorHAnsi"/>
                <w:lang w:eastAsia="en-AU"/>
              </w:rPr>
              <w:t xml:space="preserve">CBD </w:t>
            </w:r>
            <w:r w:rsidRPr="00975421">
              <w:rPr>
                <w:rFonts w:asciiTheme="minorHAnsi" w:hAnsiTheme="minorHAnsi"/>
                <w:lang w:eastAsia="en-AU"/>
              </w:rPr>
              <w:t xml:space="preserve">has been quite successful when interpretation has been undertaken </w:t>
            </w:r>
            <w:r w:rsidR="000F44A9" w:rsidRPr="00975421">
              <w:rPr>
                <w:rFonts w:asciiTheme="minorHAnsi" w:hAnsiTheme="minorHAnsi"/>
                <w:lang w:eastAsia="en-AU"/>
              </w:rPr>
              <w:t xml:space="preserve">(under conditions of consent) </w:t>
            </w:r>
            <w:r w:rsidRPr="00975421">
              <w:rPr>
                <w:rFonts w:asciiTheme="minorHAnsi" w:hAnsiTheme="minorHAnsi"/>
                <w:lang w:eastAsia="en-AU"/>
              </w:rPr>
              <w:t xml:space="preserve">at important archaeological sites.  </w:t>
            </w:r>
            <w:r w:rsidR="00602F27" w:rsidRPr="00975421">
              <w:rPr>
                <w:rFonts w:asciiTheme="minorHAnsi" w:hAnsiTheme="minorHAnsi"/>
                <w:lang w:eastAsia="en-AU"/>
              </w:rPr>
              <w:t xml:space="preserve">Such interpretation includes displays of artefacts and information about the site and in some cases it may include </w:t>
            </w:r>
            <w:r w:rsidR="00602F27" w:rsidRPr="00975421">
              <w:rPr>
                <w:rFonts w:asciiTheme="minorHAnsi" w:hAnsiTheme="minorHAnsi"/>
                <w:i/>
                <w:lang w:eastAsia="en-AU"/>
              </w:rPr>
              <w:t xml:space="preserve">in situ </w:t>
            </w:r>
            <w:r w:rsidR="00602F27" w:rsidRPr="00975421">
              <w:rPr>
                <w:rFonts w:asciiTheme="minorHAnsi" w:hAnsiTheme="minorHAnsi"/>
                <w:lang w:eastAsia="en-AU"/>
              </w:rPr>
              <w:t xml:space="preserve">conservation of archaeological remains.  Other </w:t>
            </w:r>
            <w:r w:rsidR="000F44A9" w:rsidRPr="00975421">
              <w:rPr>
                <w:rFonts w:asciiTheme="minorHAnsi" w:hAnsiTheme="minorHAnsi"/>
                <w:lang w:eastAsia="en-AU"/>
              </w:rPr>
              <w:t>methods of public engagement</w:t>
            </w:r>
            <w:r w:rsidR="00602F27" w:rsidRPr="00975421">
              <w:rPr>
                <w:rFonts w:asciiTheme="minorHAnsi" w:hAnsiTheme="minorHAnsi"/>
                <w:lang w:eastAsia="en-AU"/>
              </w:rPr>
              <w:t xml:space="preserve"> include </w:t>
            </w:r>
            <w:r w:rsidR="003B28CC" w:rsidRPr="00975421">
              <w:rPr>
                <w:rFonts w:asciiTheme="minorHAnsi" w:hAnsiTheme="minorHAnsi"/>
                <w:lang w:eastAsia="en-AU"/>
              </w:rPr>
              <w:t xml:space="preserve">requiring </w:t>
            </w:r>
            <w:r w:rsidR="00602F27" w:rsidRPr="00975421">
              <w:rPr>
                <w:rFonts w:asciiTheme="minorHAnsi" w:hAnsiTheme="minorHAnsi"/>
                <w:lang w:eastAsia="en-AU"/>
              </w:rPr>
              <w:t xml:space="preserve">public Open Days on sites during the archaeological part of the project.  </w:t>
            </w:r>
            <w:r w:rsidRPr="00975421">
              <w:rPr>
                <w:rFonts w:asciiTheme="minorHAnsi" w:hAnsiTheme="minorHAnsi"/>
                <w:lang w:eastAsia="en-AU"/>
              </w:rPr>
              <w:t xml:space="preserve">This offers an opportunity for locals and visitors to see </w:t>
            </w:r>
            <w:r w:rsidR="001609AB" w:rsidRPr="00975421">
              <w:rPr>
                <w:rFonts w:asciiTheme="minorHAnsi" w:hAnsiTheme="minorHAnsi"/>
                <w:lang w:eastAsia="en-AU"/>
              </w:rPr>
              <w:t xml:space="preserve">archaeological program while </w:t>
            </w:r>
            <w:r w:rsidR="003B28CC" w:rsidRPr="00975421">
              <w:rPr>
                <w:rFonts w:asciiTheme="minorHAnsi" w:hAnsiTheme="minorHAnsi"/>
                <w:lang w:eastAsia="en-AU"/>
              </w:rPr>
              <w:t>it is</w:t>
            </w:r>
            <w:r w:rsidR="001609AB" w:rsidRPr="00975421">
              <w:rPr>
                <w:rFonts w:asciiTheme="minorHAnsi" w:hAnsiTheme="minorHAnsi"/>
                <w:lang w:eastAsia="en-AU"/>
              </w:rPr>
              <w:t xml:space="preserve"> being undertaken through Open </w:t>
            </w:r>
            <w:proofErr w:type="gramStart"/>
            <w:r w:rsidR="001609AB" w:rsidRPr="00975421">
              <w:rPr>
                <w:rFonts w:asciiTheme="minorHAnsi" w:hAnsiTheme="minorHAnsi"/>
                <w:lang w:eastAsia="en-AU"/>
              </w:rPr>
              <w:t>Days,</w:t>
            </w:r>
            <w:proofErr w:type="gramEnd"/>
            <w:r w:rsidR="001609AB" w:rsidRPr="00975421">
              <w:rPr>
                <w:rFonts w:asciiTheme="minorHAnsi" w:hAnsiTheme="minorHAnsi"/>
                <w:lang w:eastAsia="en-AU"/>
              </w:rPr>
              <w:t xml:space="preserve"> </w:t>
            </w:r>
            <w:r w:rsidR="003B28CC" w:rsidRPr="00975421">
              <w:rPr>
                <w:rFonts w:asciiTheme="minorHAnsi" w:hAnsiTheme="minorHAnsi"/>
                <w:lang w:eastAsia="en-AU"/>
              </w:rPr>
              <w:t xml:space="preserve">and </w:t>
            </w:r>
            <w:r w:rsidR="001609AB" w:rsidRPr="00975421">
              <w:rPr>
                <w:rFonts w:asciiTheme="minorHAnsi" w:hAnsiTheme="minorHAnsi"/>
                <w:lang w:eastAsia="en-AU"/>
              </w:rPr>
              <w:t xml:space="preserve">through interpretation which is included as part of the final archaeological project.  </w:t>
            </w:r>
            <w:r w:rsidR="00602F27" w:rsidRPr="00975421">
              <w:rPr>
                <w:rFonts w:asciiTheme="minorHAnsi" w:hAnsiTheme="minorHAnsi"/>
                <w:lang w:eastAsia="en-AU"/>
              </w:rPr>
              <w:t xml:space="preserve">The inclusion of displays in the final development offers the public opportunities to explore the archaeology of the site and provides some tangible outcomes.  </w:t>
            </w:r>
          </w:p>
          <w:p w:rsidR="000F44A9" w:rsidRPr="006D4AE0" w:rsidRDefault="001609AB" w:rsidP="00975421">
            <w:pPr>
              <w:pStyle w:val="ListParagraph"/>
              <w:numPr>
                <w:ilvl w:val="0"/>
                <w:numId w:val="13"/>
              </w:numPr>
              <w:spacing w:before="60" w:after="60" w:line="240" w:lineRule="auto"/>
              <w:jc w:val="both"/>
              <w:outlineLvl w:val="1"/>
              <w:rPr>
                <w:rFonts w:asciiTheme="minorHAnsi" w:hAnsiTheme="minorHAnsi"/>
                <w:lang w:eastAsia="en-AU"/>
              </w:rPr>
            </w:pPr>
            <w:r w:rsidRPr="006D4AE0">
              <w:rPr>
                <w:rFonts w:asciiTheme="minorHAnsi" w:hAnsiTheme="minorHAnsi"/>
                <w:lang w:eastAsia="en-AU"/>
              </w:rPr>
              <w:t xml:space="preserve">New media can provide a range of opportunities for providing access to heritage.  This includes such successes as NSW Archaeology on-line </w:t>
            </w:r>
            <w:r w:rsidR="000F44A9" w:rsidRPr="006D4AE0">
              <w:rPr>
                <w:rFonts w:asciiTheme="minorHAnsi" w:hAnsiTheme="minorHAnsi"/>
                <w:lang w:eastAsia="en-AU"/>
              </w:rPr>
              <w:t>which has made available a series of early reports (</w:t>
            </w:r>
            <w:r w:rsidR="003B28CC" w:rsidRPr="006D4AE0">
              <w:rPr>
                <w:rFonts w:asciiTheme="minorHAnsi" w:hAnsiTheme="minorHAnsi"/>
                <w:lang w:eastAsia="en-AU"/>
              </w:rPr>
              <w:t xml:space="preserve">otherwise </w:t>
            </w:r>
            <w:r w:rsidR="000F44A9" w:rsidRPr="006D4AE0">
              <w:rPr>
                <w:rFonts w:asciiTheme="minorHAnsi" w:hAnsiTheme="minorHAnsi"/>
                <w:lang w:eastAsia="en-AU"/>
              </w:rPr>
              <w:t xml:space="preserve">buried in libraries) available on line. This was funded by NSW Heritage grants. </w:t>
            </w:r>
          </w:p>
          <w:p w:rsidR="003D3C13" w:rsidRPr="006D4AE0" w:rsidRDefault="000F44A9" w:rsidP="00975421">
            <w:pPr>
              <w:pStyle w:val="ListParagraph"/>
              <w:numPr>
                <w:ilvl w:val="0"/>
                <w:numId w:val="13"/>
              </w:numPr>
              <w:spacing w:before="60" w:after="60" w:line="240" w:lineRule="auto"/>
              <w:jc w:val="both"/>
              <w:outlineLvl w:val="1"/>
              <w:rPr>
                <w:rFonts w:asciiTheme="minorHAnsi" w:hAnsiTheme="minorHAnsi"/>
                <w:lang w:eastAsia="en-AU"/>
              </w:rPr>
            </w:pPr>
            <w:r w:rsidRPr="006D4AE0">
              <w:rPr>
                <w:rFonts w:asciiTheme="minorHAnsi" w:hAnsiTheme="minorHAnsi"/>
                <w:lang w:eastAsia="en-AU"/>
              </w:rPr>
              <w:t xml:space="preserve">The role of new media needs to be further developed but it needs to be undertaken in partnership with </w:t>
            </w:r>
            <w:r w:rsidR="00CF0B3A" w:rsidRPr="006D4AE0">
              <w:rPr>
                <w:rFonts w:asciiTheme="minorHAnsi" w:hAnsiTheme="minorHAnsi"/>
                <w:lang w:eastAsia="en-AU"/>
              </w:rPr>
              <w:t xml:space="preserve">various government agencies, representative groups and individual specialists. </w:t>
            </w:r>
            <w:r w:rsidRPr="006D4AE0">
              <w:rPr>
                <w:rFonts w:asciiTheme="minorHAnsi" w:hAnsiTheme="minorHAnsi"/>
                <w:lang w:eastAsia="en-AU"/>
              </w:rPr>
              <w:t xml:space="preserve"> </w:t>
            </w:r>
            <w:r w:rsidR="001609AB" w:rsidRPr="006D4AE0">
              <w:rPr>
                <w:rFonts w:asciiTheme="minorHAnsi" w:hAnsiTheme="minorHAnsi"/>
                <w:lang w:eastAsia="en-AU"/>
              </w:rPr>
              <w:t xml:space="preserve"> </w:t>
            </w:r>
          </w:p>
          <w:p w:rsidR="00CF0B3A" w:rsidRPr="006D4AE0" w:rsidRDefault="00CF0B3A" w:rsidP="00975421">
            <w:pPr>
              <w:pStyle w:val="ListParagraph"/>
              <w:numPr>
                <w:ilvl w:val="0"/>
                <w:numId w:val="13"/>
              </w:numPr>
              <w:spacing w:before="60" w:after="60" w:line="240" w:lineRule="auto"/>
              <w:jc w:val="both"/>
              <w:outlineLvl w:val="1"/>
              <w:rPr>
                <w:rFonts w:asciiTheme="minorHAnsi" w:hAnsiTheme="minorHAnsi"/>
                <w:lang w:eastAsia="en-AU"/>
              </w:rPr>
            </w:pPr>
            <w:r w:rsidRPr="006D4AE0">
              <w:rPr>
                <w:rFonts w:asciiTheme="minorHAnsi" w:hAnsiTheme="minorHAnsi"/>
                <w:lang w:eastAsia="en-AU"/>
              </w:rPr>
              <w:t xml:space="preserve">Apps for tourists to show them where archaeological displays are so if they are interested in this they can obtain a quite different view of Sydney CBD or Parramatta.  </w:t>
            </w:r>
          </w:p>
          <w:p w:rsidR="005D4CD1" w:rsidRPr="006D4AE0" w:rsidRDefault="00CF0B3A" w:rsidP="00B9664E">
            <w:pPr>
              <w:pStyle w:val="ListParagraph"/>
              <w:numPr>
                <w:ilvl w:val="0"/>
                <w:numId w:val="13"/>
              </w:numPr>
              <w:spacing w:before="60" w:after="60" w:line="240" w:lineRule="auto"/>
              <w:jc w:val="both"/>
              <w:outlineLvl w:val="1"/>
              <w:rPr>
                <w:rFonts w:asciiTheme="minorHAnsi" w:hAnsiTheme="minorHAnsi"/>
                <w:lang w:eastAsia="en-AU"/>
              </w:rPr>
            </w:pPr>
            <w:r w:rsidRPr="006D4AE0">
              <w:rPr>
                <w:rFonts w:asciiTheme="minorHAnsi" w:hAnsiTheme="minorHAnsi"/>
                <w:lang w:eastAsia="en-AU"/>
              </w:rPr>
              <w:t xml:space="preserve">New media opportunities include: 3D reconstruction of archaeological sites and artefacts, digitising collections, digitising archives so when consultants and academics retire their site archives are available for future research and archived for posterity.  This includes paper and photographic archives.  Some of this is being </w:t>
            </w:r>
            <w:r w:rsidR="003B28CC" w:rsidRPr="006D4AE0">
              <w:rPr>
                <w:rFonts w:asciiTheme="minorHAnsi" w:hAnsiTheme="minorHAnsi"/>
                <w:lang w:eastAsia="en-AU"/>
              </w:rPr>
              <w:t xml:space="preserve">trialled </w:t>
            </w:r>
            <w:r w:rsidRPr="006D4AE0">
              <w:rPr>
                <w:rFonts w:asciiTheme="minorHAnsi" w:hAnsiTheme="minorHAnsi"/>
                <w:lang w:eastAsia="en-AU"/>
              </w:rPr>
              <w:t xml:space="preserve">at the moment and needs to be supported into the future.  </w:t>
            </w:r>
          </w:p>
        </w:tc>
      </w:tr>
      <w:tr w:rsidR="003D3C13" w:rsidTr="00B146BD">
        <w:trPr>
          <w:trHeight w:val="407"/>
        </w:trPr>
        <w:tc>
          <w:tcPr>
            <w:tcW w:w="9926" w:type="dxa"/>
            <w:gridSpan w:val="2"/>
            <w:shd w:val="clear" w:color="auto" w:fill="C6D9F1" w:themeFill="text2" w:themeFillTint="33"/>
          </w:tcPr>
          <w:p w:rsidR="003D3C13" w:rsidRPr="006D4AE0" w:rsidRDefault="003D3C13" w:rsidP="006D4AE0">
            <w:pPr>
              <w:spacing w:before="60" w:after="60" w:line="240" w:lineRule="auto"/>
              <w:jc w:val="both"/>
              <w:outlineLvl w:val="1"/>
              <w:rPr>
                <w:rFonts w:asciiTheme="minorHAnsi" w:hAnsiTheme="minorHAnsi"/>
                <w:b/>
                <w:lang w:eastAsia="en-AU"/>
              </w:rPr>
            </w:pPr>
            <w:r w:rsidRPr="006D4AE0">
              <w:rPr>
                <w:rFonts w:asciiTheme="minorHAnsi" w:hAnsiTheme="minorHAnsi"/>
                <w:b/>
                <w:lang w:eastAsia="en-AU"/>
              </w:rPr>
              <w:t>Other comments</w:t>
            </w:r>
          </w:p>
        </w:tc>
      </w:tr>
      <w:tr w:rsidR="003D3C13" w:rsidRPr="006D4AE0" w:rsidTr="003D3C13">
        <w:trPr>
          <w:trHeight w:val="847"/>
        </w:trPr>
        <w:tc>
          <w:tcPr>
            <w:tcW w:w="9926" w:type="dxa"/>
            <w:gridSpan w:val="2"/>
          </w:tcPr>
          <w:p w:rsidR="003D3C13" w:rsidRPr="00B07FB5" w:rsidRDefault="001609AB" w:rsidP="006D4AE0">
            <w:pPr>
              <w:pStyle w:val="ListParagraph"/>
              <w:numPr>
                <w:ilvl w:val="0"/>
                <w:numId w:val="10"/>
              </w:numPr>
              <w:spacing w:before="60" w:after="60" w:line="240" w:lineRule="auto"/>
              <w:jc w:val="both"/>
              <w:outlineLvl w:val="1"/>
              <w:rPr>
                <w:rFonts w:asciiTheme="minorHAnsi" w:hAnsiTheme="minorHAnsi"/>
                <w:lang w:eastAsia="en-AU"/>
              </w:rPr>
            </w:pPr>
            <w:r w:rsidRPr="00B07FB5">
              <w:rPr>
                <w:rFonts w:asciiTheme="minorHAnsi" w:hAnsiTheme="minorHAnsi"/>
                <w:lang w:eastAsia="en-AU"/>
              </w:rPr>
              <w:t xml:space="preserve">While the focus </w:t>
            </w:r>
            <w:r w:rsidR="003B28CC" w:rsidRPr="00B07FB5">
              <w:rPr>
                <w:rFonts w:asciiTheme="minorHAnsi" w:hAnsiTheme="minorHAnsi"/>
                <w:lang w:eastAsia="en-AU"/>
              </w:rPr>
              <w:t xml:space="preserve">of this strategy </w:t>
            </w:r>
            <w:r w:rsidRPr="00B07FB5">
              <w:rPr>
                <w:rFonts w:asciiTheme="minorHAnsi" w:hAnsiTheme="minorHAnsi"/>
                <w:lang w:eastAsia="en-AU"/>
              </w:rPr>
              <w:t xml:space="preserve">on community engagement is laudable it assumes that the community is not engaged. </w:t>
            </w:r>
            <w:r w:rsidR="003B28CC" w:rsidRPr="00B07FB5">
              <w:rPr>
                <w:rFonts w:asciiTheme="minorHAnsi" w:hAnsiTheme="minorHAnsi"/>
                <w:lang w:eastAsia="en-AU"/>
              </w:rPr>
              <w:t xml:space="preserve"> </w:t>
            </w:r>
            <w:r w:rsidRPr="00B07FB5">
              <w:rPr>
                <w:rFonts w:asciiTheme="minorHAnsi" w:hAnsiTheme="minorHAnsi"/>
                <w:lang w:eastAsia="en-AU"/>
              </w:rPr>
              <w:t>Many members of the community are engaged.</w:t>
            </w:r>
            <w:r w:rsidR="003B28CC" w:rsidRPr="00B07FB5">
              <w:rPr>
                <w:rFonts w:asciiTheme="minorHAnsi" w:hAnsiTheme="minorHAnsi"/>
                <w:lang w:eastAsia="en-AU"/>
              </w:rPr>
              <w:t xml:space="preserve"> </w:t>
            </w:r>
            <w:r w:rsidRPr="00B07FB5">
              <w:rPr>
                <w:rFonts w:asciiTheme="minorHAnsi" w:hAnsiTheme="minorHAnsi"/>
                <w:lang w:eastAsia="en-AU"/>
              </w:rPr>
              <w:t xml:space="preserve"> </w:t>
            </w:r>
            <w:r w:rsidR="00D1224F" w:rsidRPr="00B07FB5">
              <w:rPr>
                <w:rFonts w:asciiTheme="minorHAnsi" w:hAnsiTheme="minorHAnsi"/>
                <w:lang w:eastAsia="en-AU"/>
              </w:rPr>
              <w:t xml:space="preserve">In the </w:t>
            </w:r>
            <w:r w:rsidRPr="00B07FB5">
              <w:rPr>
                <w:rFonts w:asciiTheme="minorHAnsi" w:hAnsiTheme="minorHAnsi"/>
                <w:lang w:eastAsia="en-AU"/>
              </w:rPr>
              <w:t>excavation of part of the Old Sydney Burial Ground</w:t>
            </w:r>
            <w:r w:rsidR="003B28CC" w:rsidRPr="00B07FB5">
              <w:rPr>
                <w:rFonts w:asciiTheme="minorHAnsi" w:hAnsiTheme="minorHAnsi"/>
                <w:lang w:eastAsia="en-AU"/>
              </w:rPr>
              <w:t xml:space="preserve"> in Sydney</w:t>
            </w:r>
            <w:r w:rsidR="00D1224F" w:rsidRPr="00B07FB5">
              <w:rPr>
                <w:rFonts w:asciiTheme="minorHAnsi" w:hAnsiTheme="minorHAnsi"/>
                <w:lang w:eastAsia="en-AU"/>
              </w:rPr>
              <w:t xml:space="preserve"> </w:t>
            </w:r>
            <w:r w:rsidRPr="00B07FB5">
              <w:rPr>
                <w:rFonts w:asciiTheme="minorHAnsi" w:hAnsiTheme="minorHAnsi"/>
                <w:lang w:eastAsia="en-AU"/>
              </w:rPr>
              <w:t xml:space="preserve">people lined up around the city </w:t>
            </w:r>
            <w:r w:rsidR="00D1224F" w:rsidRPr="00B07FB5">
              <w:rPr>
                <w:rFonts w:asciiTheme="minorHAnsi" w:hAnsiTheme="minorHAnsi"/>
                <w:lang w:eastAsia="en-AU"/>
              </w:rPr>
              <w:t>b</w:t>
            </w:r>
            <w:r w:rsidRPr="00B07FB5">
              <w:rPr>
                <w:rFonts w:asciiTheme="minorHAnsi" w:hAnsiTheme="minorHAnsi"/>
                <w:lang w:eastAsia="en-AU"/>
              </w:rPr>
              <w:t xml:space="preserve">lock to see the burial ground.  More than 4000 people visited the site and many more were not able to get in.  </w:t>
            </w:r>
            <w:r w:rsidR="00D1224F" w:rsidRPr="00B07FB5">
              <w:rPr>
                <w:rFonts w:asciiTheme="minorHAnsi" w:hAnsiTheme="minorHAnsi"/>
                <w:lang w:eastAsia="en-AU"/>
              </w:rPr>
              <w:t xml:space="preserve">This shows that the </w:t>
            </w:r>
            <w:r w:rsidRPr="00B07FB5">
              <w:rPr>
                <w:rFonts w:asciiTheme="minorHAnsi" w:hAnsiTheme="minorHAnsi"/>
                <w:lang w:eastAsia="en-AU"/>
              </w:rPr>
              <w:t>public is engaged</w:t>
            </w:r>
            <w:r w:rsidR="00B9664E">
              <w:rPr>
                <w:rFonts w:asciiTheme="minorHAnsi" w:hAnsiTheme="minorHAnsi"/>
                <w:lang w:eastAsia="en-AU"/>
              </w:rPr>
              <w:t xml:space="preserve"> with their heritage and will take opportunities to engage with it when it is provided</w:t>
            </w:r>
            <w:r w:rsidRPr="00B07FB5">
              <w:rPr>
                <w:rFonts w:asciiTheme="minorHAnsi" w:hAnsiTheme="minorHAnsi"/>
                <w:lang w:eastAsia="en-AU"/>
              </w:rPr>
              <w:t xml:space="preserve">.  </w:t>
            </w:r>
          </w:p>
          <w:p w:rsidR="001609AB" w:rsidRPr="006D4AE0" w:rsidRDefault="001609AB" w:rsidP="006D4AE0">
            <w:pPr>
              <w:pStyle w:val="ListParagraph"/>
              <w:numPr>
                <w:ilvl w:val="0"/>
                <w:numId w:val="10"/>
              </w:numPr>
              <w:spacing w:before="60" w:after="60" w:line="240" w:lineRule="auto"/>
              <w:jc w:val="both"/>
              <w:outlineLvl w:val="1"/>
              <w:rPr>
                <w:rFonts w:asciiTheme="minorHAnsi" w:hAnsiTheme="minorHAnsi"/>
                <w:lang w:eastAsia="en-AU"/>
              </w:rPr>
            </w:pPr>
            <w:r w:rsidRPr="006D4AE0">
              <w:rPr>
                <w:rFonts w:asciiTheme="minorHAnsi" w:hAnsiTheme="minorHAnsi"/>
                <w:lang w:eastAsia="en-AU"/>
              </w:rPr>
              <w:t xml:space="preserve">One of ASHA’s main concerns is that </w:t>
            </w:r>
            <w:r w:rsidR="00602F27" w:rsidRPr="006D4AE0">
              <w:rPr>
                <w:rFonts w:asciiTheme="minorHAnsi" w:hAnsiTheme="minorHAnsi"/>
                <w:lang w:eastAsia="en-AU"/>
              </w:rPr>
              <w:t>our members</w:t>
            </w:r>
            <w:r w:rsidRPr="006D4AE0">
              <w:rPr>
                <w:rFonts w:asciiTheme="minorHAnsi" w:hAnsiTheme="minorHAnsi"/>
                <w:lang w:eastAsia="en-AU"/>
              </w:rPr>
              <w:t xml:space="preserve"> do not get opportunities to undertake the necessary additional research on archaeological projects </w:t>
            </w:r>
            <w:r w:rsidR="002C17F1">
              <w:rPr>
                <w:rFonts w:asciiTheme="minorHAnsi" w:hAnsiTheme="minorHAnsi"/>
                <w:lang w:eastAsia="en-AU"/>
              </w:rPr>
              <w:t xml:space="preserve">excavated </w:t>
            </w:r>
            <w:r w:rsidRPr="006D4AE0">
              <w:rPr>
                <w:rFonts w:asciiTheme="minorHAnsi" w:hAnsiTheme="minorHAnsi"/>
                <w:lang w:eastAsia="en-AU"/>
              </w:rPr>
              <w:t>as part of development projects.  Therefore this important information does not make it into the public arena.   In a few cases this information has been made public and has been embraced by the public.  The</w:t>
            </w:r>
            <w:r w:rsidR="002C17F1">
              <w:rPr>
                <w:rFonts w:asciiTheme="minorHAnsi" w:hAnsiTheme="minorHAnsi"/>
                <w:lang w:eastAsia="en-AU"/>
              </w:rPr>
              <w:t xml:space="preserve"> public are very interested in the results of archaeological projects</w:t>
            </w:r>
            <w:r w:rsidRPr="006D4AE0">
              <w:rPr>
                <w:rFonts w:asciiTheme="minorHAnsi" w:hAnsiTheme="minorHAnsi"/>
                <w:lang w:eastAsia="en-AU"/>
              </w:rPr>
              <w:t xml:space="preserve">.  </w:t>
            </w:r>
            <w:r w:rsidR="002C17F1">
              <w:rPr>
                <w:rFonts w:asciiTheme="minorHAnsi" w:hAnsiTheme="minorHAnsi"/>
                <w:lang w:eastAsia="en-AU"/>
              </w:rPr>
              <w:t>ASHA</w:t>
            </w:r>
            <w:r w:rsidR="00602F27" w:rsidRPr="006D4AE0">
              <w:rPr>
                <w:rFonts w:asciiTheme="minorHAnsi" w:hAnsiTheme="minorHAnsi"/>
                <w:lang w:eastAsia="en-AU"/>
              </w:rPr>
              <w:t xml:space="preserve"> </w:t>
            </w:r>
            <w:r w:rsidR="00B9664E">
              <w:rPr>
                <w:rFonts w:asciiTheme="minorHAnsi" w:hAnsiTheme="minorHAnsi"/>
                <w:lang w:eastAsia="en-AU"/>
              </w:rPr>
              <w:t>is</w:t>
            </w:r>
            <w:r w:rsidR="00602F27" w:rsidRPr="006D4AE0">
              <w:rPr>
                <w:rFonts w:asciiTheme="minorHAnsi" w:hAnsiTheme="minorHAnsi"/>
                <w:lang w:eastAsia="en-AU"/>
              </w:rPr>
              <w:t xml:space="preserve"> currently developing a series of public publications about results of significance archaeological projects.  Some of </w:t>
            </w:r>
            <w:r w:rsidR="003B28CC" w:rsidRPr="006D4AE0">
              <w:rPr>
                <w:rFonts w:asciiTheme="minorHAnsi" w:hAnsiTheme="minorHAnsi"/>
                <w:lang w:eastAsia="en-AU"/>
              </w:rPr>
              <w:t xml:space="preserve">these </w:t>
            </w:r>
            <w:r w:rsidR="00602F27" w:rsidRPr="006D4AE0">
              <w:rPr>
                <w:rFonts w:asciiTheme="minorHAnsi" w:hAnsiTheme="minorHAnsi"/>
                <w:lang w:eastAsia="en-AU"/>
              </w:rPr>
              <w:t xml:space="preserve">will tie into sites where there is </w:t>
            </w:r>
            <w:r w:rsidR="00602F27" w:rsidRPr="006D4AE0">
              <w:rPr>
                <w:rFonts w:asciiTheme="minorHAnsi" w:hAnsiTheme="minorHAnsi"/>
                <w:i/>
                <w:lang w:eastAsia="en-AU"/>
              </w:rPr>
              <w:t>in situ</w:t>
            </w:r>
            <w:r w:rsidR="00602F27" w:rsidRPr="006D4AE0">
              <w:rPr>
                <w:rFonts w:asciiTheme="minorHAnsi" w:hAnsiTheme="minorHAnsi"/>
                <w:lang w:eastAsia="en-AU"/>
              </w:rPr>
              <w:t xml:space="preserve"> conservation and/or interpretation of the archaeology.  </w:t>
            </w:r>
          </w:p>
          <w:p w:rsidR="001609AB" w:rsidRPr="006D4AE0" w:rsidRDefault="001609AB" w:rsidP="006D4AE0">
            <w:pPr>
              <w:pStyle w:val="ListParagraph"/>
              <w:numPr>
                <w:ilvl w:val="0"/>
                <w:numId w:val="10"/>
              </w:numPr>
              <w:spacing w:before="60" w:after="60" w:line="240" w:lineRule="auto"/>
              <w:jc w:val="both"/>
              <w:outlineLvl w:val="1"/>
              <w:rPr>
                <w:rFonts w:asciiTheme="minorHAnsi" w:hAnsiTheme="minorHAnsi"/>
                <w:lang w:eastAsia="en-AU"/>
              </w:rPr>
            </w:pPr>
            <w:r w:rsidRPr="006D4AE0">
              <w:rPr>
                <w:rFonts w:asciiTheme="minorHAnsi" w:hAnsiTheme="minorHAnsi"/>
                <w:lang w:eastAsia="en-AU"/>
              </w:rPr>
              <w:t>Heritage generally and archaeology specifically does not ‘exist’</w:t>
            </w:r>
            <w:r w:rsidR="00B9664E">
              <w:rPr>
                <w:rFonts w:asciiTheme="minorHAnsi" w:hAnsiTheme="minorHAnsi"/>
                <w:lang w:eastAsia="en-AU"/>
              </w:rPr>
              <w:t xml:space="preserve"> as a given</w:t>
            </w:r>
            <w:r w:rsidR="003B28CC" w:rsidRPr="006D4AE0">
              <w:rPr>
                <w:rFonts w:asciiTheme="minorHAnsi" w:hAnsiTheme="minorHAnsi"/>
                <w:lang w:eastAsia="en-AU"/>
              </w:rPr>
              <w:t>.</w:t>
            </w:r>
            <w:r w:rsidRPr="006D4AE0">
              <w:rPr>
                <w:rFonts w:asciiTheme="minorHAnsi" w:hAnsiTheme="minorHAnsi"/>
                <w:lang w:eastAsia="en-AU"/>
              </w:rPr>
              <w:t xml:space="preserve"> </w:t>
            </w:r>
            <w:r w:rsidR="003B28CC" w:rsidRPr="006D4AE0">
              <w:rPr>
                <w:rFonts w:asciiTheme="minorHAnsi" w:hAnsiTheme="minorHAnsi"/>
                <w:lang w:eastAsia="en-AU"/>
              </w:rPr>
              <w:t xml:space="preserve"> It </w:t>
            </w:r>
            <w:r w:rsidRPr="006D4AE0">
              <w:rPr>
                <w:rFonts w:asciiTheme="minorHAnsi" w:hAnsiTheme="minorHAnsi"/>
                <w:lang w:eastAsia="en-AU"/>
              </w:rPr>
              <w:t xml:space="preserve">is created by the way </w:t>
            </w:r>
            <w:r w:rsidR="00602F27" w:rsidRPr="006D4AE0">
              <w:rPr>
                <w:rFonts w:asciiTheme="minorHAnsi" w:hAnsiTheme="minorHAnsi"/>
                <w:lang w:eastAsia="en-AU"/>
              </w:rPr>
              <w:t xml:space="preserve">it is </w:t>
            </w:r>
            <w:r w:rsidRPr="006D4AE0">
              <w:rPr>
                <w:rFonts w:asciiTheme="minorHAnsi" w:hAnsiTheme="minorHAnsi"/>
                <w:lang w:eastAsia="en-AU"/>
              </w:rPr>
              <w:t>interpret</w:t>
            </w:r>
            <w:r w:rsidR="00602F27" w:rsidRPr="006D4AE0">
              <w:rPr>
                <w:rFonts w:asciiTheme="minorHAnsi" w:hAnsiTheme="minorHAnsi"/>
                <w:lang w:eastAsia="en-AU"/>
              </w:rPr>
              <w:t>ed</w:t>
            </w:r>
            <w:r w:rsidRPr="006D4AE0">
              <w:rPr>
                <w:rFonts w:asciiTheme="minorHAnsi" w:hAnsiTheme="minorHAnsi"/>
                <w:lang w:eastAsia="en-AU"/>
              </w:rPr>
              <w:t xml:space="preserve"> to the public</w:t>
            </w:r>
            <w:r w:rsidR="00B9664E">
              <w:rPr>
                <w:rFonts w:asciiTheme="minorHAnsi" w:hAnsiTheme="minorHAnsi"/>
                <w:lang w:eastAsia="en-AU"/>
              </w:rPr>
              <w:t>, by the meaning we bestow on it</w:t>
            </w:r>
            <w:r w:rsidRPr="006D4AE0">
              <w:rPr>
                <w:rFonts w:asciiTheme="minorHAnsi" w:hAnsiTheme="minorHAnsi"/>
                <w:lang w:eastAsia="en-AU"/>
              </w:rPr>
              <w:t xml:space="preserve">.  </w:t>
            </w:r>
            <w:r w:rsidR="00602F27" w:rsidRPr="006D4AE0">
              <w:rPr>
                <w:rFonts w:asciiTheme="minorHAnsi" w:hAnsiTheme="minorHAnsi"/>
                <w:lang w:eastAsia="en-AU"/>
              </w:rPr>
              <w:t xml:space="preserve">This interpretation is done by specialists and local community groups who do their own research.  </w:t>
            </w:r>
            <w:r w:rsidRPr="006D4AE0">
              <w:rPr>
                <w:rFonts w:asciiTheme="minorHAnsi" w:hAnsiTheme="minorHAnsi"/>
                <w:lang w:eastAsia="en-AU"/>
              </w:rPr>
              <w:t>If we have not undertaken the detailed research</w:t>
            </w:r>
            <w:r w:rsidR="002C17F1">
              <w:rPr>
                <w:rFonts w:asciiTheme="minorHAnsi" w:hAnsiTheme="minorHAnsi"/>
                <w:lang w:eastAsia="en-AU"/>
              </w:rPr>
              <w:t>;</w:t>
            </w:r>
            <w:r w:rsidRPr="006D4AE0">
              <w:rPr>
                <w:rFonts w:asciiTheme="minorHAnsi" w:hAnsiTheme="minorHAnsi"/>
                <w:lang w:eastAsia="en-AU"/>
              </w:rPr>
              <w:t xml:space="preserve"> either historical</w:t>
            </w:r>
            <w:r w:rsidR="002C17F1">
              <w:rPr>
                <w:rFonts w:asciiTheme="minorHAnsi" w:hAnsiTheme="minorHAnsi"/>
                <w:lang w:eastAsia="en-AU"/>
              </w:rPr>
              <w:t xml:space="preserve"> research</w:t>
            </w:r>
            <w:r w:rsidRPr="006D4AE0">
              <w:rPr>
                <w:rFonts w:asciiTheme="minorHAnsi" w:hAnsiTheme="minorHAnsi"/>
                <w:lang w:eastAsia="en-AU"/>
              </w:rPr>
              <w:t xml:space="preserve">, investigation of fabric, </w:t>
            </w:r>
            <w:r w:rsidR="002C17F1">
              <w:rPr>
                <w:rFonts w:asciiTheme="minorHAnsi" w:hAnsiTheme="minorHAnsi"/>
                <w:lang w:eastAsia="en-AU"/>
              </w:rPr>
              <w:t xml:space="preserve">conservation of buildings, </w:t>
            </w:r>
            <w:r w:rsidRPr="006D4AE0">
              <w:rPr>
                <w:rFonts w:asciiTheme="minorHAnsi" w:hAnsiTheme="minorHAnsi"/>
                <w:lang w:eastAsia="en-AU"/>
              </w:rPr>
              <w:t>archaeological excavation</w:t>
            </w:r>
            <w:r w:rsidR="002C17F1">
              <w:rPr>
                <w:rFonts w:asciiTheme="minorHAnsi" w:hAnsiTheme="minorHAnsi"/>
                <w:lang w:eastAsia="en-AU"/>
              </w:rPr>
              <w:t>;</w:t>
            </w:r>
            <w:r w:rsidRPr="006D4AE0">
              <w:rPr>
                <w:rFonts w:asciiTheme="minorHAnsi" w:hAnsiTheme="minorHAnsi"/>
                <w:lang w:eastAsia="en-AU"/>
              </w:rPr>
              <w:t xml:space="preserve"> and then pulled it all together </w:t>
            </w:r>
            <w:r w:rsidR="002C17F1">
              <w:rPr>
                <w:rFonts w:asciiTheme="minorHAnsi" w:hAnsiTheme="minorHAnsi"/>
                <w:lang w:eastAsia="en-AU"/>
              </w:rPr>
              <w:t xml:space="preserve">to give it meaning </w:t>
            </w:r>
            <w:r w:rsidRPr="006D4AE0">
              <w:rPr>
                <w:rFonts w:asciiTheme="minorHAnsi" w:hAnsiTheme="minorHAnsi"/>
                <w:lang w:eastAsia="en-AU"/>
              </w:rPr>
              <w:t>then we do not have ‘heritage’</w:t>
            </w:r>
            <w:r w:rsidR="002C17F1">
              <w:rPr>
                <w:rFonts w:asciiTheme="minorHAnsi" w:hAnsiTheme="minorHAnsi"/>
                <w:lang w:eastAsia="en-AU"/>
              </w:rPr>
              <w:t>;</w:t>
            </w:r>
            <w:r w:rsidRPr="006D4AE0">
              <w:rPr>
                <w:rFonts w:asciiTheme="minorHAnsi" w:hAnsiTheme="minorHAnsi"/>
                <w:lang w:eastAsia="en-AU"/>
              </w:rPr>
              <w:t xml:space="preserve"> we have </w:t>
            </w:r>
            <w:r w:rsidR="002C17F1">
              <w:rPr>
                <w:rFonts w:asciiTheme="minorHAnsi" w:hAnsiTheme="minorHAnsi"/>
                <w:lang w:eastAsia="en-AU"/>
              </w:rPr>
              <w:t xml:space="preserve">a few </w:t>
            </w:r>
            <w:r w:rsidRPr="006D4AE0">
              <w:rPr>
                <w:rFonts w:asciiTheme="minorHAnsi" w:hAnsiTheme="minorHAnsi"/>
                <w:lang w:eastAsia="en-AU"/>
              </w:rPr>
              <w:t xml:space="preserve">buildings, </w:t>
            </w:r>
            <w:r w:rsidR="00D1224F">
              <w:rPr>
                <w:rFonts w:asciiTheme="minorHAnsi" w:hAnsiTheme="minorHAnsi"/>
                <w:lang w:eastAsia="en-AU"/>
              </w:rPr>
              <w:t xml:space="preserve">possibly a </w:t>
            </w:r>
            <w:r w:rsidR="00602F27" w:rsidRPr="006D4AE0">
              <w:rPr>
                <w:rFonts w:asciiTheme="minorHAnsi" w:hAnsiTheme="minorHAnsi"/>
                <w:lang w:eastAsia="en-AU"/>
              </w:rPr>
              <w:t>main street</w:t>
            </w:r>
            <w:r w:rsidR="002C17F1">
              <w:rPr>
                <w:rFonts w:asciiTheme="minorHAnsi" w:hAnsiTheme="minorHAnsi"/>
                <w:lang w:eastAsia="en-AU"/>
              </w:rPr>
              <w:t xml:space="preserve">, </w:t>
            </w:r>
            <w:r w:rsidR="00D1224F">
              <w:rPr>
                <w:rFonts w:asciiTheme="minorHAnsi" w:hAnsiTheme="minorHAnsi"/>
                <w:lang w:eastAsia="en-AU"/>
              </w:rPr>
              <w:t xml:space="preserve">maybe some </w:t>
            </w:r>
            <w:r w:rsidR="00602F27" w:rsidRPr="006D4AE0">
              <w:rPr>
                <w:rFonts w:asciiTheme="minorHAnsi" w:hAnsiTheme="minorHAnsi"/>
                <w:lang w:eastAsia="en-AU"/>
              </w:rPr>
              <w:t xml:space="preserve">buried footings.  To engage </w:t>
            </w:r>
            <w:r w:rsidR="002C17F1">
              <w:rPr>
                <w:rFonts w:asciiTheme="minorHAnsi" w:hAnsiTheme="minorHAnsi"/>
                <w:lang w:eastAsia="en-AU"/>
              </w:rPr>
              <w:t xml:space="preserve">with </w:t>
            </w:r>
            <w:r w:rsidR="00602F27" w:rsidRPr="006D4AE0">
              <w:rPr>
                <w:rFonts w:asciiTheme="minorHAnsi" w:hAnsiTheme="minorHAnsi"/>
                <w:lang w:eastAsia="en-AU"/>
              </w:rPr>
              <w:t xml:space="preserve">the community it is important to make sure that heritage specialists are sufficiently involved in projects to provide major community outcomes.  </w:t>
            </w:r>
          </w:p>
          <w:p w:rsidR="005D4CD1" w:rsidRPr="006D4AE0" w:rsidRDefault="000F44A9" w:rsidP="002C17F1">
            <w:pPr>
              <w:pStyle w:val="ListParagraph"/>
              <w:numPr>
                <w:ilvl w:val="0"/>
                <w:numId w:val="10"/>
              </w:numPr>
              <w:spacing w:before="60" w:after="60" w:line="240" w:lineRule="auto"/>
              <w:jc w:val="both"/>
              <w:outlineLvl w:val="1"/>
              <w:rPr>
                <w:rFonts w:asciiTheme="minorHAnsi" w:hAnsiTheme="minorHAnsi"/>
                <w:lang w:eastAsia="en-AU"/>
              </w:rPr>
            </w:pPr>
            <w:r w:rsidRPr="00A02078">
              <w:rPr>
                <w:rFonts w:asciiTheme="minorHAnsi" w:hAnsiTheme="minorHAnsi"/>
                <w:lang w:eastAsia="en-AU"/>
              </w:rPr>
              <w:t xml:space="preserve">When dealing with the archaeology of Parramatta and Sydney CBD we are often dealing with sites of National significance.  Often when sites are on the World Heritage List the focus of their management is on the built heritage and the archaeology is seen as something </w:t>
            </w:r>
            <w:r w:rsidR="002C17F1">
              <w:rPr>
                <w:rFonts w:asciiTheme="minorHAnsi" w:hAnsiTheme="minorHAnsi"/>
                <w:lang w:eastAsia="en-AU"/>
              </w:rPr>
              <w:t xml:space="preserve">on which </w:t>
            </w:r>
            <w:r w:rsidRPr="00A02078">
              <w:rPr>
                <w:rFonts w:asciiTheme="minorHAnsi" w:hAnsiTheme="minorHAnsi"/>
                <w:lang w:eastAsia="en-AU"/>
              </w:rPr>
              <w:t xml:space="preserve">to minimise expenditure.  While this may maximise limited resources it does not maximise knowledge </w:t>
            </w:r>
            <w:r w:rsidR="003B28CC" w:rsidRPr="00A02078">
              <w:rPr>
                <w:rFonts w:asciiTheme="minorHAnsi" w:hAnsiTheme="minorHAnsi"/>
                <w:lang w:eastAsia="en-AU"/>
              </w:rPr>
              <w:t xml:space="preserve">from </w:t>
            </w:r>
            <w:r w:rsidRPr="00A02078">
              <w:rPr>
                <w:rFonts w:asciiTheme="minorHAnsi" w:hAnsiTheme="minorHAnsi"/>
                <w:lang w:eastAsia="en-AU"/>
              </w:rPr>
              <w:t xml:space="preserve">archaeological remains.  Funding for heritage conservation of World Heritage Areas should also include the archaeology.  Often the significance of the archaeology is diminished through </w:t>
            </w:r>
            <w:r w:rsidR="002C17F1">
              <w:rPr>
                <w:rFonts w:asciiTheme="minorHAnsi" w:hAnsiTheme="minorHAnsi"/>
                <w:lang w:eastAsia="en-AU"/>
              </w:rPr>
              <w:t>these</w:t>
            </w:r>
            <w:r w:rsidRPr="00A02078">
              <w:rPr>
                <w:rFonts w:asciiTheme="minorHAnsi" w:hAnsiTheme="minorHAnsi"/>
                <w:lang w:eastAsia="en-AU"/>
              </w:rPr>
              <w:t xml:space="preserve"> processes.  </w:t>
            </w: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B79" w:rsidRDefault="000D0B79" w:rsidP="00A60185">
      <w:pPr>
        <w:spacing w:after="0" w:line="240" w:lineRule="auto"/>
      </w:pPr>
      <w:r>
        <w:separator/>
      </w:r>
    </w:p>
  </w:endnote>
  <w:endnote w:type="continuationSeparator" w:id="0">
    <w:p w:rsidR="000D0B79" w:rsidRDefault="000D0B79"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716E3A" w:rsidRDefault="005E0664">
        <w:pPr>
          <w:pStyle w:val="Footer"/>
          <w:jc w:val="center"/>
        </w:pPr>
        <w:fldSimple w:instr=" PAGE   \* MERGEFORMAT ">
          <w:r w:rsidR="00C143F1">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B79" w:rsidRDefault="000D0B79" w:rsidP="00A60185">
      <w:pPr>
        <w:spacing w:after="0" w:line="240" w:lineRule="auto"/>
      </w:pPr>
      <w:r>
        <w:separator/>
      </w:r>
    </w:p>
  </w:footnote>
  <w:footnote w:type="continuationSeparator" w:id="0">
    <w:p w:rsidR="000D0B79" w:rsidRDefault="000D0B79"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E3A" w:rsidRDefault="005E0664" w:rsidP="00E45765">
    <w:pPr>
      <w:pStyle w:val="Classification"/>
    </w:pPr>
    <w:r>
      <w:fldChar w:fldCharType="begin"/>
    </w:r>
    <w:r w:rsidR="00716E3A">
      <w:instrText xml:space="preserve"> DOCPROPERTY SecurityClassification \* MERGEFORMAT </w:instrText>
    </w:r>
    <w:r>
      <w:fldChar w:fldCharType="separate"/>
    </w:r>
    <w:r w:rsidR="00716E3A">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E3A" w:rsidRDefault="00716E3A">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E3A" w:rsidRDefault="00716E3A">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7F32B92"/>
    <w:multiLevelType w:val="hybridMultilevel"/>
    <w:tmpl w:val="9AD8CA3A"/>
    <w:lvl w:ilvl="0" w:tplc="04090001">
      <w:start w:val="1"/>
      <w:numFmt w:val="bullet"/>
      <w:lvlText w:val=""/>
      <w:lvlJc w:val="left"/>
      <w:pPr>
        <w:tabs>
          <w:tab w:val="num" w:pos="567"/>
        </w:tabs>
        <w:ind w:left="567" w:hanging="567"/>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F745BC2"/>
    <w:multiLevelType w:val="multilevel"/>
    <w:tmpl w:val="E5E89F92"/>
    <w:numStyleLink w:val="BulletList"/>
  </w:abstractNum>
  <w:abstractNum w:abstractNumId="3">
    <w:nsid w:val="2CA275FE"/>
    <w:multiLevelType w:val="hybridMultilevel"/>
    <w:tmpl w:val="35568CEE"/>
    <w:lvl w:ilvl="0" w:tplc="2D6A9850">
      <w:start w:val="1"/>
      <w:numFmt w:val="bullet"/>
      <w:pStyle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2E83D96"/>
    <w:multiLevelType w:val="hybridMultilevel"/>
    <w:tmpl w:val="E3D617FE"/>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5202023"/>
    <w:multiLevelType w:val="hybridMultilevel"/>
    <w:tmpl w:val="83A001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AE713F3"/>
    <w:multiLevelType w:val="hybridMultilevel"/>
    <w:tmpl w:val="48368D64"/>
    <w:lvl w:ilvl="0" w:tplc="0C090001">
      <w:start w:val="1"/>
      <w:numFmt w:val="bullet"/>
      <w:lvlText w:val=""/>
      <w:lvlJc w:val="left"/>
      <w:pPr>
        <w:tabs>
          <w:tab w:val="num" w:pos="567"/>
        </w:tabs>
        <w:ind w:left="567" w:hanging="567"/>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F093779"/>
    <w:multiLevelType w:val="hybridMultilevel"/>
    <w:tmpl w:val="3ACAD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65456429"/>
    <w:multiLevelType w:val="multilevel"/>
    <w:tmpl w:val="E898CC72"/>
    <w:numStyleLink w:val="KeyPoints"/>
  </w:abstractNum>
  <w:abstractNum w:abstractNumId="1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78D96F21"/>
    <w:multiLevelType w:val="hybridMultilevel"/>
    <w:tmpl w:val="E11EF9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6"/>
  </w:num>
  <w:num w:numId="4">
    <w:abstractNumId w:val="4"/>
  </w:num>
  <w:num w:numId="5">
    <w:abstractNumId w:val="10"/>
  </w:num>
  <w:num w:numId="6">
    <w:abstractNumId w:val="2"/>
  </w:num>
  <w:num w:numId="7">
    <w:abstractNumId w:val="9"/>
  </w:num>
  <w:num w:numId="8">
    <w:abstractNumId w:val="8"/>
  </w:num>
  <w:num w:numId="9">
    <w:abstractNumId w:val="3"/>
  </w:num>
  <w:num w:numId="10">
    <w:abstractNumId w:val="7"/>
  </w:num>
  <w:num w:numId="11">
    <w:abstractNumId w:val="5"/>
  </w:num>
  <w:num w:numId="12">
    <w:abstractNumId w:val="1"/>
  </w:num>
  <w:num w:numId="13">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0B79"/>
    <w:rsid w:val="000D2887"/>
    <w:rsid w:val="000D6D63"/>
    <w:rsid w:val="000E0081"/>
    <w:rsid w:val="000E07CF"/>
    <w:rsid w:val="000E31C1"/>
    <w:rsid w:val="000F2CF2"/>
    <w:rsid w:val="000F44A9"/>
    <w:rsid w:val="00100BEF"/>
    <w:rsid w:val="00111326"/>
    <w:rsid w:val="0011498E"/>
    <w:rsid w:val="00117A45"/>
    <w:rsid w:val="001224AE"/>
    <w:rsid w:val="001337D4"/>
    <w:rsid w:val="00147C12"/>
    <w:rsid w:val="001527A1"/>
    <w:rsid w:val="001530DC"/>
    <w:rsid w:val="00154989"/>
    <w:rsid w:val="00155A9F"/>
    <w:rsid w:val="00160262"/>
    <w:rsid w:val="001609AB"/>
    <w:rsid w:val="0016780A"/>
    <w:rsid w:val="001713FA"/>
    <w:rsid w:val="00172561"/>
    <w:rsid w:val="00173EBF"/>
    <w:rsid w:val="00175ED3"/>
    <w:rsid w:val="0017764E"/>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1251"/>
    <w:rsid w:val="00292B81"/>
    <w:rsid w:val="002B18AE"/>
    <w:rsid w:val="002C17F1"/>
    <w:rsid w:val="002C1C93"/>
    <w:rsid w:val="002C5066"/>
    <w:rsid w:val="002C5813"/>
    <w:rsid w:val="002D4AAC"/>
    <w:rsid w:val="002F045A"/>
    <w:rsid w:val="002F4BCF"/>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28CC"/>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58D7"/>
    <w:rsid w:val="00467924"/>
    <w:rsid w:val="004712A5"/>
    <w:rsid w:val="0047266F"/>
    <w:rsid w:val="004736ED"/>
    <w:rsid w:val="00476D6B"/>
    <w:rsid w:val="004929E7"/>
    <w:rsid w:val="00492C16"/>
    <w:rsid w:val="00494D68"/>
    <w:rsid w:val="004A0678"/>
    <w:rsid w:val="004A48A3"/>
    <w:rsid w:val="004B0D92"/>
    <w:rsid w:val="004B0EC0"/>
    <w:rsid w:val="004B66F1"/>
    <w:rsid w:val="004C1B4A"/>
    <w:rsid w:val="004C3EA0"/>
    <w:rsid w:val="004D3A92"/>
    <w:rsid w:val="004E3AA0"/>
    <w:rsid w:val="004F1AD9"/>
    <w:rsid w:val="004F1E73"/>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0664"/>
    <w:rsid w:val="005E3DFC"/>
    <w:rsid w:val="005E5942"/>
    <w:rsid w:val="005E60AF"/>
    <w:rsid w:val="005F1DEA"/>
    <w:rsid w:val="00602F27"/>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D4AE0"/>
    <w:rsid w:val="006E1CFE"/>
    <w:rsid w:val="006F10C4"/>
    <w:rsid w:val="006F40E9"/>
    <w:rsid w:val="006F5603"/>
    <w:rsid w:val="00701400"/>
    <w:rsid w:val="007037CF"/>
    <w:rsid w:val="007167C0"/>
    <w:rsid w:val="00716E3A"/>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A4EEB"/>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143F"/>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57D24"/>
    <w:rsid w:val="00963B6A"/>
    <w:rsid w:val="00970950"/>
    <w:rsid w:val="00975421"/>
    <w:rsid w:val="009812D4"/>
    <w:rsid w:val="009907AE"/>
    <w:rsid w:val="009920D8"/>
    <w:rsid w:val="009B0EEE"/>
    <w:rsid w:val="009B38BE"/>
    <w:rsid w:val="009C3D0F"/>
    <w:rsid w:val="009C4757"/>
    <w:rsid w:val="009E02AC"/>
    <w:rsid w:val="009E1B19"/>
    <w:rsid w:val="009E2093"/>
    <w:rsid w:val="009E5D97"/>
    <w:rsid w:val="009F35E2"/>
    <w:rsid w:val="009F65F9"/>
    <w:rsid w:val="009F68BA"/>
    <w:rsid w:val="00A02078"/>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2FE2"/>
    <w:rsid w:val="00AA58C4"/>
    <w:rsid w:val="00AB11C8"/>
    <w:rsid w:val="00AB1F37"/>
    <w:rsid w:val="00AC08A8"/>
    <w:rsid w:val="00AD56C8"/>
    <w:rsid w:val="00AD58F2"/>
    <w:rsid w:val="00AF32B4"/>
    <w:rsid w:val="00B0512A"/>
    <w:rsid w:val="00B0529F"/>
    <w:rsid w:val="00B06E9E"/>
    <w:rsid w:val="00B07FB5"/>
    <w:rsid w:val="00B1418B"/>
    <w:rsid w:val="00B146BD"/>
    <w:rsid w:val="00B21195"/>
    <w:rsid w:val="00B24B22"/>
    <w:rsid w:val="00B25310"/>
    <w:rsid w:val="00B32F8F"/>
    <w:rsid w:val="00B54DE9"/>
    <w:rsid w:val="00B553EC"/>
    <w:rsid w:val="00B55E3F"/>
    <w:rsid w:val="00B7074F"/>
    <w:rsid w:val="00B93DD0"/>
    <w:rsid w:val="00B9664E"/>
    <w:rsid w:val="00B97732"/>
    <w:rsid w:val="00BA65A8"/>
    <w:rsid w:val="00BA6D19"/>
    <w:rsid w:val="00BA7461"/>
    <w:rsid w:val="00BA7DA9"/>
    <w:rsid w:val="00BC4215"/>
    <w:rsid w:val="00BD1A6F"/>
    <w:rsid w:val="00BD75D9"/>
    <w:rsid w:val="00BE6D3C"/>
    <w:rsid w:val="00BE7852"/>
    <w:rsid w:val="00BF018B"/>
    <w:rsid w:val="00BF7CEE"/>
    <w:rsid w:val="00C03880"/>
    <w:rsid w:val="00C135CF"/>
    <w:rsid w:val="00C143F1"/>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A655A"/>
    <w:rsid w:val="00CB1690"/>
    <w:rsid w:val="00CB3CB1"/>
    <w:rsid w:val="00CC4365"/>
    <w:rsid w:val="00CD11B0"/>
    <w:rsid w:val="00CE71C2"/>
    <w:rsid w:val="00CF0B3A"/>
    <w:rsid w:val="00CF42D5"/>
    <w:rsid w:val="00CF4EDA"/>
    <w:rsid w:val="00CF6087"/>
    <w:rsid w:val="00D021CB"/>
    <w:rsid w:val="00D10F1A"/>
    <w:rsid w:val="00D116F8"/>
    <w:rsid w:val="00D1224F"/>
    <w:rsid w:val="00D17596"/>
    <w:rsid w:val="00D22640"/>
    <w:rsid w:val="00D26D3A"/>
    <w:rsid w:val="00D41615"/>
    <w:rsid w:val="00D45EE3"/>
    <w:rsid w:val="00D50618"/>
    <w:rsid w:val="00D509E9"/>
    <w:rsid w:val="00D53B1C"/>
    <w:rsid w:val="00D56B2E"/>
    <w:rsid w:val="00D60AEB"/>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31CB"/>
    <w:rsid w:val="00EB60CE"/>
    <w:rsid w:val="00EB7D53"/>
    <w:rsid w:val="00ED4FFD"/>
    <w:rsid w:val="00EE3146"/>
    <w:rsid w:val="00EF50BB"/>
    <w:rsid w:val="00EF53FF"/>
    <w:rsid w:val="00F00192"/>
    <w:rsid w:val="00F01DF6"/>
    <w:rsid w:val="00F02A0A"/>
    <w:rsid w:val="00F0340D"/>
    <w:rsid w:val="00F059A6"/>
    <w:rsid w:val="00F05FB3"/>
    <w:rsid w:val="00F23756"/>
    <w:rsid w:val="00F2523A"/>
    <w:rsid w:val="00F25FFA"/>
    <w:rsid w:val="00F310D2"/>
    <w:rsid w:val="00F36F3D"/>
    <w:rsid w:val="00F415A2"/>
    <w:rsid w:val="00F477BD"/>
    <w:rsid w:val="00F53491"/>
    <w:rsid w:val="00F601FD"/>
    <w:rsid w:val="00F639B6"/>
    <w:rsid w:val="00F65A1C"/>
    <w:rsid w:val="00F66F50"/>
    <w:rsid w:val="00F7065B"/>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Bullet">
    <w:name w:val="Bullet"/>
    <w:basedOn w:val="Normal"/>
    <w:link w:val="BulletChar"/>
    <w:qFormat/>
    <w:rsid w:val="00F05FB3"/>
    <w:pPr>
      <w:numPr>
        <w:numId w:val="9"/>
      </w:numPr>
      <w:tabs>
        <w:tab w:val="left" w:pos="567"/>
      </w:tabs>
      <w:spacing w:before="60" w:after="60" w:line="240" w:lineRule="auto"/>
      <w:ind w:left="357" w:hanging="357"/>
      <w:jc w:val="both"/>
    </w:pPr>
    <w:rPr>
      <w:rFonts w:asciiTheme="minorHAnsi" w:hAnsiTheme="minorHAnsi"/>
      <w:color w:val="000000"/>
    </w:rPr>
  </w:style>
  <w:style w:type="character" w:customStyle="1" w:styleId="BulletChar">
    <w:name w:val="Bullet Char"/>
    <w:basedOn w:val="DefaultParagraphFont"/>
    <w:link w:val="Bullet"/>
    <w:locked/>
    <w:rsid w:val="00F05FB3"/>
    <w:rPr>
      <w:rFonts w:asciiTheme="minorHAnsi" w:eastAsia="Times New Roman" w:hAnsiTheme="minorHAnsi"/>
      <w:color w:val="00000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2247</Words>
  <Characters>12811</Characters>
  <Application>Microsoft Office Word</Application>
  <DocSecurity>0</DocSecurity>
  <Lines>106</Lines>
  <Paragraphs>30</Paragraphs>
  <ScaleCrop>false</ScaleCrop>
  <LinksUpToDate>false</LinksUpToDate>
  <CharactersWithSpaces>15028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073-australasian-society-for-historical-archaeology </dc:title>
  <dc:creator/>
  <cp:lastModifiedBy/>
  <cp:revision>1</cp:revision>
  <dcterms:created xsi:type="dcterms:W3CDTF">2014-10-28T22:15:00Z</dcterms:created>
  <dcterms:modified xsi:type="dcterms:W3CDTF">2014-10-28T22:16:00Z</dcterms:modified>
</cp:coreProperties>
</file>