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8B1" w:rsidRPr="00652A12" w:rsidRDefault="00C878B1" w:rsidP="00652A12">
      <w:pPr>
        <w:pStyle w:val="NormalWeb"/>
        <w:spacing w:before="0" w:beforeAutospacing="0" w:after="0" w:afterAutospacing="0"/>
        <w:rPr>
          <w:rFonts w:ascii="Arial" w:hAnsi="Arial" w:cs="Arial"/>
          <w:sz w:val="20"/>
        </w:rPr>
      </w:pPr>
    </w:p>
    <w:p w:rsidR="00C878B1" w:rsidRPr="007B4F81" w:rsidRDefault="00C878B1" w:rsidP="00A17F75">
      <w:pPr>
        <w:pStyle w:val="Heading1"/>
        <w:tabs>
          <w:tab w:val="left" w:pos="3924"/>
        </w:tabs>
        <w:spacing w:after="120"/>
        <w:jc w:val="center"/>
        <w:rPr>
          <w:b w:val="0"/>
          <w:color w:val="365F91"/>
          <w:kern w:val="20"/>
          <w:sz w:val="28"/>
        </w:rPr>
      </w:pPr>
      <w:r w:rsidRPr="007B4F81">
        <w:rPr>
          <w:color w:val="365F91"/>
          <w:kern w:val="20"/>
          <w:sz w:val="28"/>
        </w:rPr>
        <w:t>Template</w:t>
      </w:r>
      <w:r>
        <w:rPr>
          <w:color w:val="365F91"/>
          <w:kern w:val="20"/>
          <w:sz w:val="28"/>
        </w:rPr>
        <w:t xml:space="preserve"> FOR INPUT INTO THE</w:t>
      </w:r>
    </w:p>
    <w:p w:rsidR="00C878B1" w:rsidRDefault="00C878B1" w:rsidP="00A17F75">
      <w:pPr>
        <w:spacing w:after="120"/>
        <w:jc w:val="center"/>
        <w:rPr>
          <w:rFonts w:ascii="Arial" w:hAnsi="Arial"/>
          <w:b/>
          <w:color w:val="365F91"/>
          <w:kern w:val="20"/>
          <w:sz w:val="28"/>
        </w:rPr>
      </w:pPr>
      <w:r>
        <w:rPr>
          <w:rFonts w:ascii="Arial" w:hAnsi="Arial"/>
          <w:b/>
          <w:color w:val="365F91"/>
          <w:kern w:val="20"/>
          <w:sz w:val="28"/>
        </w:rPr>
        <w:t xml:space="preserve">AUSTRALIAN HERITAGE STRATEGY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C878B1" w:rsidRPr="0032165A">
        <w:tc>
          <w:tcPr>
            <w:tcW w:w="9926" w:type="dxa"/>
            <w:gridSpan w:val="2"/>
          </w:tcPr>
          <w:p w:rsidR="00C878B1" w:rsidRPr="005446EF" w:rsidRDefault="00C878B1" w:rsidP="000341CC">
            <w:pPr>
              <w:pStyle w:val="Style2"/>
              <w:keepNext w:val="0"/>
              <w:rPr>
                <w:color w:val="365F91"/>
                <w:lang w:val="en-AU"/>
              </w:rPr>
            </w:pPr>
            <w:r w:rsidRPr="005446EF">
              <w:rPr>
                <w:color w:val="365F91"/>
                <w:lang w:val="en-AU"/>
              </w:rPr>
              <w:t>Overview</w:t>
            </w:r>
          </w:p>
          <w:p w:rsidR="00C878B1" w:rsidRPr="00766203" w:rsidRDefault="00C878B1" w:rsidP="00E5475A">
            <w:pPr>
              <w:rPr>
                <w:rFonts w:ascii="Arial" w:hAnsi="Arial" w:cs="Arial"/>
              </w:rPr>
            </w:pPr>
            <w:r w:rsidRPr="00E75C2F">
              <w:rPr>
                <w:rFonts w:ascii="Arial" w:hAnsi="Arial" w:cs="Arial"/>
              </w:rPr>
              <w:t>This template shoul</w:t>
            </w:r>
            <w:r>
              <w:rPr>
                <w:rFonts w:ascii="Arial" w:hAnsi="Arial" w:cs="Arial"/>
              </w:rPr>
              <w:t>d be used to provide comments on the content of the Australian Heritage Strategy.</w:t>
            </w:r>
            <w:r>
              <w:t xml:space="preserve"> </w:t>
            </w:r>
          </w:p>
        </w:tc>
      </w:tr>
      <w:tr w:rsidR="00C878B1" w:rsidRPr="0032165A">
        <w:trPr>
          <w:trHeight w:val="442"/>
        </w:trPr>
        <w:tc>
          <w:tcPr>
            <w:tcW w:w="9926" w:type="dxa"/>
            <w:gridSpan w:val="2"/>
          </w:tcPr>
          <w:p w:rsidR="00C878B1" w:rsidRPr="005446EF" w:rsidRDefault="00C878B1" w:rsidP="000341CC">
            <w:pPr>
              <w:pStyle w:val="Style2"/>
              <w:keepNext w:val="0"/>
              <w:rPr>
                <w:rFonts w:cs="Arial"/>
                <w:color w:val="365F91"/>
                <w:lang w:val="en-AU"/>
              </w:rPr>
            </w:pPr>
            <w:r w:rsidRPr="005446EF">
              <w:rPr>
                <w:color w:val="365F91"/>
                <w:lang w:val="en-AU"/>
              </w:rPr>
              <w:t>Contact Details</w:t>
            </w:r>
          </w:p>
        </w:tc>
      </w:tr>
      <w:tr w:rsidR="00C878B1" w:rsidRPr="0032165A">
        <w:trPr>
          <w:trHeight w:val="336"/>
        </w:trPr>
        <w:tc>
          <w:tcPr>
            <w:tcW w:w="2807" w:type="dxa"/>
          </w:tcPr>
          <w:p w:rsidR="00C878B1" w:rsidRPr="0032165A" w:rsidRDefault="00C878B1" w:rsidP="000341CC">
            <w:pPr>
              <w:rPr>
                <w:rFonts w:ascii="Arial" w:hAnsi="Arial" w:cs="Arial"/>
                <w:b/>
                <w:lang w:val="en-GB"/>
              </w:rPr>
            </w:pPr>
            <w:r w:rsidRPr="0032165A">
              <w:rPr>
                <w:rFonts w:ascii="Arial" w:hAnsi="Arial" w:cs="Arial"/>
                <w:b/>
                <w:lang w:val="en-GB"/>
              </w:rPr>
              <w:t>Name of Organisation:</w:t>
            </w:r>
          </w:p>
        </w:tc>
        <w:tc>
          <w:tcPr>
            <w:tcW w:w="7119" w:type="dxa"/>
          </w:tcPr>
          <w:p w:rsidR="00C878B1" w:rsidRPr="0032165A" w:rsidRDefault="00C878B1" w:rsidP="000341CC">
            <w:pPr>
              <w:rPr>
                <w:rFonts w:ascii="Arial" w:hAnsi="Arial" w:cs="Arial"/>
              </w:rPr>
            </w:pPr>
            <w:r>
              <w:rPr>
                <w:rFonts w:ascii="Arial" w:hAnsi="Arial" w:cs="Arial"/>
              </w:rPr>
              <w:t>Abbotsford Convent Foundation (ACF)</w:t>
            </w:r>
          </w:p>
        </w:tc>
      </w:tr>
      <w:tr w:rsidR="00C878B1" w:rsidRPr="0032165A">
        <w:trPr>
          <w:trHeight w:val="336"/>
        </w:trPr>
        <w:tc>
          <w:tcPr>
            <w:tcW w:w="2807" w:type="dxa"/>
          </w:tcPr>
          <w:p w:rsidR="00C878B1" w:rsidRPr="0032165A" w:rsidRDefault="00C878B1" w:rsidP="000341CC">
            <w:pPr>
              <w:rPr>
                <w:rFonts w:ascii="Arial" w:hAnsi="Arial" w:cs="Arial"/>
                <w:b/>
                <w:lang w:val="en-GB"/>
              </w:rPr>
            </w:pPr>
            <w:r w:rsidRPr="0032165A">
              <w:rPr>
                <w:rFonts w:ascii="Arial" w:hAnsi="Arial" w:cs="Arial"/>
                <w:b/>
                <w:lang w:val="en-GB"/>
              </w:rPr>
              <w:t>Name of Author:</w:t>
            </w:r>
          </w:p>
        </w:tc>
        <w:tc>
          <w:tcPr>
            <w:tcW w:w="7119" w:type="dxa"/>
          </w:tcPr>
          <w:p w:rsidR="00C878B1" w:rsidRPr="0032165A" w:rsidRDefault="00C878B1" w:rsidP="000341CC">
            <w:pPr>
              <w:rPr>
                <w:rFonts w:ascii="Arial" w:hAnsi="Arial" w:cs="Arial"/>
                <w:b/>
                <w:lang w:val="en-GB"/>
              </w:rPr>
            </w:pPr>
            <w:r>
              <w:rPr>
                <w:rFonts w:ascii="Arial" w:hAnsi="Arial" w:cs="Arial"/>
                <w:b/>
                <w:lang w:val="en-GB"/>
              </w:rPr>
              <w:t>Maggie Maguire</w:t>
            </w:r>
          </w:p>
        </w:tc>
      </w:tr>
      <w:tr w:rsidR="00C878B1" w:rsidRPr="0032165A">
        <w:trPr>
          <w:trHeight w:val="336"/>
        </w:trPr>
        <w:tc>
          <w:tcPr>
            <w:tcW w:w="2807" w:type="dxa"/>
          </w:tcPr>
          <w:p w:rsidR="00C878B1" w:rsidRPr="0032165A" w:rsidRDefault="00C878B1" w:rsidP="000341CC">
            <w:pPr>
              <w:rPr>
                <w:rFonts w:ascii="Arial" w:hAnsi="Arial" w:cs="Arial"/>
                <w:b/>
                <w:lang w:val="en-GB"/>
              </w:rPr>
            </w:pPr>
            <w:r>
              <w:rPr>
                <w:rFonts w:ascii="Arial" w:hAnsi="Arial" w:cs="Arial"/>
                <w:b/>
                <w:lang w:val="en-GB"/>
              </w:rPr>
              <w:t>Date:</w:t>
            </w:r>
          </w:p>
        </w:tc>
        <w:tc>
          <w:tcPr>
            <w:tcW w:w="7119" w:type="dxa"/>
          </w:tcPr>
          <w:p w:rsidR="00C878B1" w:rsidRPr="0032165A" w:rsidRDefault="00C878B1" w:rsidP="000341CC">
            <w:pPr>
              <w:rPr>
                <w:rFonts w:ascii="Arial" w:hAnsi="Arial" w:cs="Arial"/>
                <w:b/>
                <w:lang w:val="en-GB"/>
              </w:rPr>
            </w:pPr>
            <w:r>
              <w:rPr>
                <w:rFonts w:ascii="Arial" w:hAnsi="Arial" w:cs="Arial"/>
                <w:b/>
                <w:lang w:val="en-GB"/>
              </w:rPr>
              <w:t>4 June, 2014</w:t>
            </w:r>
          </w:p>
        </w:tc>
      </w:tr>
      <w:tr w:rsidR="00C878B1">
        <w:tc>
          <w:tcPr>
            <w:tcW w:w="9926" w:type="dxa"/>
            <w:gridSpan w:val="2"/>
            <w:tcBorders>
              <w:left w:val="nil"/>
              <w:right w:val="nil"/>
            </w:tcBorders>
          </w:tcPr>
          <w:p w:rsidR="00C878B1" w:rsidRPr="007C3B3F" w:rsidRDefault="00C878B1" w:rsidP="007F1A58">
            <w:pPr>
              <w:spacing w:after="0" w:line="240" w:lineRule="auto"/>
            </w:pPr>
          </w:p>
        </w:tc>
      </w:tr>
      <w:tr w:rsidR="00C878B1">
        <w:tc>
          <w:tcPr>
            <w:tcW w:w="9926" w:type="dxa"/>
            <w:gridSpan w:val="2"/>
          </w:tcPr>
          <w:p w:rsidR="00C878B1" w:rsidRPr="005446EF" w:rsidRDefault="00C878B1" w:rsidP="007F1A58">
            <w:pPr>
              <w:pStyle w:val="Style2"/>
              <w:keepNext w:val="0"/>
              <w:rPr>
                <w:color w:val="365F91"/>
                <w:lang w:val="en-AU"/>
              </w:rPr>
            </w:pPr>
            <w:r w:rsidRPr="005446EF">
              <w:rPr>
                <w:color w:val="365F91"/>
                <w:lang w:val="en-AU"/>
              </w:rPr>
              <w:t>Questions</w:t>
            </w:r>
          </w:p>
          <w:p w:rsidR="00C878B1" w:rsidRPr="00BE789F" w:rsidRDefault="00C878B1"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Pr>
                <w:rFonts w:ascii="Arial" w:hAnsi="Arial" w:cs="Arial"/>
              </w:rPr>
              <w:t>“O</w:t>
            </w:r>
            <w:r w:rsidRPr="008F10D7">
              <w:rPr>
                <w:rFonts w:ascii="Arial" w:hAnsi="Arial" w:cs="Arial"/>
              </w:rPr>
              <w:t>ther comments</w:t>
            </w:r>
            <w:r>
              <w:rPr>
                <w:rFonts w:ascii="Arial" w:hAnsi="Arial" w:cs="Arial"/>
              </w:rPr>
              <w:t>”</w:t>
            </w:r>
            <w:r w:rsidRPr="008F10D7">
              <w:rPr>
                <w:rFonts w:ascii="Arial" w:hAnsi="Arial" w:cs="Arial"/>
              </w:rPr>
              <w:t xml:space="preserve"> field.</w:t>
            </w:r>
          </w:p>
        </w:tc>
      </w:tr>
      <w:tr w:rsidR="00C878B1">
        <w:tc>
          <w:tcPr>
            <w:tcW w:w="9926" w:type="dxa"/>
            <w:gridSpan w:val="2"/>
            <w:shd w:val="clear" w:color="auto" w:fill="C6D9F1"/>
          </w:tcPr>
          <w:p w:rsidR="00C878B1" w:rsidRPr="005D4CD1" w:rsidRDefault="00C878B1" w:rsidP="005D4CD1">
            <w:pPr>
              <w:pStyle w:val="ListNumber"/>
              <w:numPr>
                <w:ilvl w:val="0"/>
                <w:numId w:val="25"/>
              </w:numPr>
              <w:rPr>
                <w:b/>
              </w:rPr>
            </w:pPr>
            <w:r w:rsidRPr="005D4CD1">
              <w:rPr>
                <w:b/>
              </w:rPr>
              <w:t xml:space="preserve">Improve National Leadership </w:t>
            </w:r>
          </w:p>
          <w:p w:rsidR="00C878B1" w:rsidRPr="005D4CD1" w:rsidRDefault="00C878B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C878B1" w:rsidRPr="005D4CD1" w:rsidRDefault="00C878B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C878B1" w:rsidRPr="005D4CD1" w:rsidRDefault="00C878B1" w:rsidP="005D4CD1">
            <w:pPr>
              <w:ind w:left="369"/>
              <w:rPr>
                <w:rFonts w:ascii="Arial" w:hAnsi="Arial" w:cs="Arial"/>
              </w:rPr>
            </w:pPr>
            <w:r w:rsidRPr="005D4CD1">
              <w:rPr>
                <w:rFonts w:ascii="Arial" w:hAnsi="Arial" w:cs="Arial"/>
              </w:rPr>
              <w:t>What priority areas are important to you, your organisation or group?</w:t>
            </w:r>
          </w:p>
          <w:p w:rsidR="00C878B1" w:rsidRDefault="00C878B1" w:rsidP="005D4CD1">
            <w:pPr>
              <w:ind w:left="369"/>
            </w:pPr>
            <w:r w:rsidRPr="005D4CD1">
              <w:rPr>
                <w:rFonts w:ascii="Arial" w:hAnsi="Arial" w:cs="Arial"/>
              </w:rPr>
              <w:t>What practical actions would you suggest to improve national heritage leadership?</w:t>
            </w:r>
          </w:p>
        </w:tc>
      </w:tr>
      <w:tr w:rsidR="00C878B1" w:rsidRPr="00FF7EB8">
        <w:trPr>
          <w:trHeight w:val="1184"/>
        </w:trPr>
        <w:tc>
          <w:tcPr>
            <w:tcW w:w="9926" w:type="dxa"/>
            <w:gridSpan w:val="2"/>
          </w:tcPr>
          <w:p w:rsidR="00C878B1" w:rsidRPr="00D831FE" w:rsidRDefault="00C878B1" w:rsidP="00D831FE">
            <w:pPr>
              <w:widowControl w:val="0"/>
              <w:autoSpaceDE w:val="0"/>
              <w:autoSpaceDN w:val="0"/>
              <w:adjustRightInd w:val="0"/>
              <w:spacing w:after="0" w:line="240" w:lineRule="auto"/>
              <w:rPr>
                <w:rFonts w:ascii="ArialMT" w:hAnsi="ArialMT" w:cs="ArialMT"/>
                <w:color w:val="E13AF9"/>
                <w:sz w:val="32"/>
                <w:szCs w:val="32"/>
                <w:lang w:val="en-US"/>
              </w:rPr>
            </w:pPr>
          </w:p>
          <w:p w:rsidR="00C878B1" w:rsidRPr="00D831FE" w:rsidRDefault="00C878B1" w:rsidP="00D831FE">
            <w:pPr>
              <w:widowControl w:val="0"/>
              <w:autoSpaceDE w:val="0"/>
              <w:autoSpaceDN w:val="0"/>
              <w:adjustRightInd w:val="0"/>
              <w:spacing w:after="0" w:line="240" w:lineRule="auto"/>
              <w:rPr>
                <w:rFonts w:ascii="ArialMT" w:hAnsi="ArialMT" w:cs="ArialMT"/>
                <w:color w:val="E13AF9"/>
                <w:sz w:val="32"/>
                <w:szCs w:val="32"/>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u w:val="single"/>
                <w:lang w:val="en-US"/>
              </w:rPr>
              <w:t>Leadership in Heritage – National Heritage Listing</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Heritage classification such as National Heritage Listing boosts the esteem and understanding of the significance of heritage sites within the wider community. Classification for significant sites increases a heritage site's gravitas and its ability to gain wider support for preservation, restoration and invigoration.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 xml:space="preserve">As the draft strategy notes, there are backlogs in the National Heritage Listing's assessment process. That has created an ongoing administrative burden for the Abbotsford Convent Foundation (hereafter referred to as the ACF) as our applications since 2007 have required repetitive attention to resubmit applications. It is a high priority for the ACF to have its applications for National Heritage Listing processed </w:t>
            </w:r>
            <w:r w:rsidRPr="00D831FE">
              <w:rPr>
                <w:rFonts w:ascii="Arial" w:hAnsi="Arial" w:cs="ArialMT"/>
                <w:sz w:val="24"/>
                <w:szCs w:val="32"/>
                <w:lang w:val="en-US"/>
              </w:rPr>
              <w:lastRenderedPageBreak/>
              <w:t>and therefore we welcome the prioritising of thematic studies.</w:t>
            </w: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u w:val="single"/>
                <w:lang w:val="en-US"/>
              </w:rPr>
              <w:t>Practical Actions – Funding</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The ACF, like many other organisations charged with maintaining heritage infrastructure, must establish a sinking fund to provide long term finance to maintain buildings and sites. Consideration should be given to establishing a federal government fund to fund the heritage department’s programs. The fund could support strategic federal interventions; such as long-term self-managed sinking funds for heritage sites. It could also support the restoration of heritage buildings to house commercial interests that can then support the heritage sites. </w:t>
            </w:r>
          </w:p>
          <w:p w:rsidR="00C878B1" w:rsidRPr="00D831FE" w:rsidRDefault="00C878B1" w:rsidP="00D831FE">
            <w:pPr>
              <w:widowControl w:val="0"/>
              <w:autoSpaceDE w:val="0"/>
              <w:autoSpaceDN w:val="0"/>
              <w:adjustRightInd w:val="0"/>
              <w:spacing w:after="0" w:line="240" w:lineRule="auto"/>
              <w:rPr>
                <w:rFonts w:ascii="Arial" w:hAnsi="Arial" w:cs="ArialMT"/>
                <w:color w:val="E13AF9"/>
                <w:sz w:val="24"/>
                <w:szCs w:val="32"/>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u w:val="single"/>
                <w:lang w:val="en-US"/>
              </w:rPr>
              <w:t>A Lottery Fund?</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The ACF would welcome the federal government establishing a lottery that funded arts, heritage, culture and community outcomes, similar to what now occurs in West Australia and the UK.</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u w:val="single"/>
                <w:lang w:val="en-US"/>
              </w:rPr>
              <w:t>Federal Funds to Leverage Other Support</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Whilst the Federal government should not necessarily</w:t>
            </w:r>
            <w:r w:rsidRPr="00D831FE">
              <w:rPr>
                <w:rFonts w:ascii="Arial" w:hAnsi="Arial" w:cs="ArialMT"/>
                <w:i/>
                <w:iCs/>
                <w:sz w:val="24"/>
                <w:szCs w:val="32"/>
                <w:lang w:val="en-US"/>
              </w:rPr>
              <w:t xml:space="preserve"> wholly</w:t>
            </w:r>
            <w:r w:rsidRPr="00D831FE">
              <w:rPr>
                <w:rFonts w:ascii="Arial" w:hAnsi="Arial" w:cs="ArialMT"/>
                <w:sz w:val="24"/>
                <w:szCs w:val="32"/>
                <w:lang w:val="en-US"/>
              </w:rPr>
              <w:t xml:space="preserve"> fund the restoration or maintenance of heritage sites, it should continue to provide funds to encourage state and local government, business and philanthropic support.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The ACF’s current highest priority is to raise $18 million to finish the job of restoring the Abbotsford Convent. The ACF is building a coalition of support across the philanthropic, government and business sectors to raise the funds. Having federal support would greatly and in particular encourage state government funding. Previously, federal funds have provided the impetus for significant amounts of matched philanthropic support to be granted.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 xml:space="preserve">The federal government's role in unlocking funds through financial support is critical when there will be outcomes of national significance. The ACF is interested in future funding rounds for the </w:t>
            </w:r>
            <w:r w:rsidRPr="00D831FE">
              <w:rPr>
                <w:rFonts w:ascii="Arial" w:hAnsi="Arial" w:cs="ArialMT"/>
                <w:i/>
                <w:iCs/>
                <w:sz w:val="24"/>
                <w:szCs w:val="32"/>
                <w:lang w:val="en-US"/>
              </w:rPr>
              <w:t>Protecting National Historic Sites</w:t>
            </w:r>
            <w:r w:rsidRPr="00D831FE">
              <w:rPr>
                <w:rFonts w:ascii="Arial" w:hAnsi="Arial" w:cs="ArialMT"/>
                <w:sz w:val="24"/>
                <w:szCs w:val="32"/>
                <w:lang w:val="en-US"/>
              </w:rPr>
              <w:t xml:space="preserve"> Program and hopes that the program continues to fund those participating in the National Heritage Listing process, rather than just NHL recipients. The ACF also believes </w:t>
            </w:r>
            <w:r w:rsidRPr="00D831FE">
              <w:rPr>
                <w:rFonts w:ascii="Arial" w:hAnsi="Arial" w:cs="ArialMT"/>
                <w:i/>
                <w:iCs/>
                <w:sz w:val="24"/>
                <w:szCs w:val="32"/>
                <w:lang w:val="en-US"/>
              </w:rPr>
              <w:t>Protecting National Historic Sites</w:t>
            </w:r>
            <w:r w:rsidRPr="00D831FE">
              <w:rPr>
                <w:rFonts w:ascii="Arial" w:hAnsi="Arial" w:cs="ArialMT"/>
                <w:sz w:val="24"/>
                <w:szCs w:val="32"/>
                <w:lang w:val="en-US"/>
              </w:rPr>
              <w:t> Program should have the capacity to grant amounts in excess of $1M.</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u w:val="single"/>
                <w:lang w:val="en-US"/>
              </w:rPr>
              <w:t>Department of Heritage Advocacy for Funding from Other Federal Departments</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If there is more demand for funds from the federal heritage department than there are available funds, any encouragement for funding to come from more generously funded government departments to realise heritage outcomes would be welcomed. In this sense, adaptive reuse of heritage sites for valuable contemporary uses should be encouraged.</w:t>
            </w: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u w:val="single"/>
                <w:lang w:val="en-US"/>
              </w:rPr>
              <w:t>How Heritage Outcomes at the Abbotsford Convent Would Support Other Government Goals</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The Abbotsford Convent now attracts almost 1 million annual visitors and the site's new life as a creative cluster, a cultural tourism site, a community hub and a huge economic driver clearly demonstrates how heritage can be redefined and for broad and valuable long term outcomes. This is evidenced through the following examples:</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p>
          <w:p w:rsidR="00C878B1" w:rsidRPr="00D831FE" w:rsidRDefault="00C878B1" w:rsidP="00D831FE">
            <w:pPr>
              <w:widowControl w:val="0"/>
              <w:autoSpaceDE w:val="0"/>
              <w:autoSpaceDN w:val="0"/>
              <w:adjustRightInd w:val="0"/>
              <w:spacing w:after="0" w:line="240" w:lineRule="auto"/>
              <w:ind w:left="512"/>
              <w:rPr>
                <w:rFonts w:ascii="Arial" w:hAnsi="Arial" w:cs="ArialMT"/>
                <w:sz w:val="24"/>
                <w:szCs w:val="32"/>
                <w:lang w:val="en-US"/>
              </w:rPr>
            </w:pPr>
            <w:r w:rsidRPr="00D831FE">
              <w:rPr>
                <w:rFonts w:ascii="Arial" w:hAnsi="Arial" w:cs="ArialMT"/>
                <w:sz w:val="24"/>
                <w:szCs w:val="32"/>
                <w:lang w:val="en-US"/>
              </w:rPr>
              <w:t xml:space="preserve">-The Convent is now Australia’s largest multi-arts site, where the co-location of diverse creative practices encourages a convergence of resources and knowledge and delivers </w:t>
            </w:r>
            <w:proofErr w:type="gramStart"/>
            <w:r w:rsidRPr="00D831FE">
              <w:rPr>
                <w:rFonts w:ascii="Arial" w:hAnsi="Arial" w:cs="ArialMT"/>
                <w:sz w:val="24"/>
                <w:szCs w:val="32"/>
                <w:lang w:val="en-US"/>
              </w:rPr>
              <w:t>many valuable collaborations</w:t>
            </w:r>
            <w:proofErr w:type="gramEnd"/>
            <w:r w:rsidRPr="00D831FE">
              <w:rPr>
                <w:rFonts w:ascii="Arial" w:hAnsi="Arial" w:cs="ArialMT"/>
                <w:sz w:val="24"/>
                <w:szCs w:val="32"/>
                <w:lang w:val="en-US"/>
              </w:rPr>
              <w:t>.</w:t>
            </w:r>
          </w:p>
          <w:p w:rsidR="00C878B1" w:rsidRPr="00D831FE" w:rsidRDefault="00C878B1" w:rsidP="00D831FE">
            <w:pPr>
              <w:widowControl w:val="0"/>
              <w:autoSpaceDE w:val="0"/>
              <w:autoSpaceDN w:val="0"/>
              <w:adjustRightInd w:val="0"/>
              <w:spacing w:after="0" w:line="240" w:lineRule="auto"/>
              <w:ind w:left="512"/>
              <w:rPr>
                <w:rFonts w:ascii="Arial" w:hAnsi="Arial" w:cs="ArialMT"/>
                <w:sz w:val="24"/>
                <w:szCs w:val="32"/>
                <w:lang w:val="en-US"/>
              </w:rPr>
            </w:pPr>
            <w:r w:rsidRPr="00D831FE">
              <w:rPr>
                <w:rFonts w:ascii="Arial" w:hAnsi="Arial" w:cs="ArialMT"/>
                <w:sz w:val="24"/>
                <w:szCs w:val="32"/>
                <w:lang w:val="en-US"/>
              </w:rPr>
              <w:lastRenderedPageBreak/>
              <w:t>-The Convent now provides 625 jobs and supports a further 475 jobs elsewhere in the economy.</w:t>
            </w:r>
          </w:p>
          <w:p w:rsidR="00C878B1" w:rsidRPr="00D831FE" w:rsidRDefault="00C878B1" w:rsidP="00D831FE">
            <w:pPr>
              <w:widowControl w:val="0"/>
              <w:autoSpaceDE w:val="0"/>
              <w:autoSpaceDN w:val="0"/>
              <w:adjustRightInd w:val="0"/>
              <w:spacing w:after="0" w:line="240" w:lineRule="auto"/>
              <w:ind w:left="512"/>
              <w:rPr>
                <w:rFonts w:ascii="Arial" w:hAnsi="Arial" w:cs="ArialMT"/>
                <w:sz w:val="24"/>
                <w:szCs w:val="32"/>
                <w:lang w:val="en-US"/>
              </w:rPr>
            </w:pPr>
            <w:r w:rsidRPr="00D831FE">
              <w:rPr>
                <w:rFonts w:ascii="Arial" w:hAnsi="Arial" w:cs="ArialMT"/>
                <w:sz w:val="24"/>
                <w:szCs w:val="32"/>
                <w:lang w:val="en-US"/>
              </w:rPr>
              <w:t>-Tenant revenue has grew to  almost $34 million dollars in 2013</w:t>
            </w:r>
          </w:p>
          <w:p w:rsidR="00C878B1" w:rsidRPr="00D831FE" w:rsidRDefault="00C878B1" w:rsidP="00D831FE">
            <w:pPr>
              <w:widowControl w:val="0"/>
              <w:autoSpaceDE w:val="0"/>
              <w:autoSpaceDN w:val="0"/>
              <w:adjustRightInd w:val="0"/>
              <w:spacing w:after="0" w:line="240" w:lineRule="auto"/>
              <w:ind w:left="512"/>
              <w:rPr>
                <w:rFonts w:ascii="Arial" w:hAnsi="Arial" w:cs="ArialMT"/>
                <w:sz w:val="24"/>
                <w:szCs w:val="32"/>
                <w:lang w:val="en-US"/>
              </w:rPr>
            </w:pPr>
            <w:r w:rsidRPr="00D831FE">
              <w:rPr>
                <w:rFonts w:ascii="Arial" w:hAnsi="Arial" w:cs="ArialMT"/>
                <w:sz w:val="24"/>
                <w:szCs w:val="32"/>
                <w:lang w:val="en-US"/>
              </w:rPr>
              <w:t>-International tourism has doubled in the past year (28,000 to 67,000 visitors).</w:t>
            </w:r>
          </w:p>
          <w:p w:rsidR="00C878B1" w:rsidRPr="00D831FE" w:rsidRDefault="00C878B1" w:rsidP="00D831FE">
            <w:pPr>
              <w:widowControl w:val="0"/>
              <w:autoSpaceDE w:val="0"/>
              <w:autoSpaceDN w:val="0"/>
              <w:adjustRightInd w:val="0"/>
              <w:spacing w:after="0" w:line="240" w:lineRule="auto"/>
              <w:ind w:left="512"/>
              <w:rPr>
                <w:rFonts w:ascii="Arial" w:hAnsi="Arial" w:cs="ArialMT"/>
                <w:sz w:val="24"/>
                <w:szCs w:val="32"/>
                <w:lang w:val="en-US"/>
              </w:rPr>
            </w:pPr>
            <w:r w:rsidRPr="00D831FE">
              <w:rPr>
                <w:rFonts w:ascii="Arial" w:hAnsi="Arial" w:cs="ArialMT"/>
                <w:sz w:val="24"/>
                <w:szCs w:val="32"/>
                <w:lang w:val="en-US"/>
              </w:rPr>
              <w:t>-$7 million dollars annually is spent by visitors at businesses located on site.</w:t>
            </w:r>
          </w:p>
          <w:p w:rsidR="00C878B1" w:rsidRPr="00D831FE" w:rsidRDefault="00C878B1" w:rsidP="00D831FE">
            <w:pPr>
              <w:widowControl w:val="0"/>
              <w:autoSpaceDE w:val="0"/>
              <w:autoSpaceDN w:val="0"/>
              <w:adjustRightInd w:val="0"/>
              <w:spacing w:after="0" w:line="240" w:lineRule="auto"/>
              <w:rPr>
                <w:rFonts w:ascii="Arial" w:hAnsi="Arial" w:cs="ArialMT"/>
                <w:color w:val="E13AF9"/>
                <w:sz w:val="24"/>
                <w:szCs w:val="32"/>
                <w:lang w:val="en-US"/>
              </w:rPr>
            </w:pPr>
            <w:r w:rsidRPr="00D831FE">
              <w:rPr>
                <w:rFonts w:ascii="Arial" w:hAnsi="Arial" w:cs="ArialMT"/>
                <w:color w:val="E13AF9"/>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iCs/>
                <w:sz w:val="24"/>
                <w:szCs w:val="32"/>
                <w:lang w:val="en-US"/>
              </w:rPr>
              <w:t>Plans to restore the final 40% of the site will provide strong economic green shots to Australia’s economy. Ground floor spaces will offer a range of appealing artisanal stores</w:t>
            </w:r>
            <w:r w:rsidRPr="00D831FE">
              <w:rPr>
                <w:rFonts w:ascii="Arial" w:hAnsi="Arial" w:cs="ArialMT"/>
                <w:iCs/>
                <w:sz w:val="24"/>
                <w:szCs w:val="32"/>
                <w:u w:val="single"/>
                <w:lang w:val="en-US"/>
              </w:rPr>
              <w:t xml:space="preserve"> and</w:t>
            </w:r>
            <w:r w:rsidRPr="00D831FE">
              <w:rPr>
                <w:rFonts w:ascii="Arial" w:hAnsi="Arial" w:cs="ArialMT"/>
                <w:iCs/>
                <w:sz w:val="24"/>
                <w:szCs w:val="32"/>
                <w:lang w:val="en-US"/>
              </w:rPr>
              <w:t xml:space="preserve"> provide for dynamic performance, workshop, film shoot, conference, event, exhibition and lecture spaces; all offering unique cultural tourism experiences. The upper floors will foster a new cluster of start-up creative micro-businesses; such as digital content providers, online retailers, designers, advertisers, e-publishers, makers, independent entrepreneurs, animators, games developers, producers and more. This knowledge-based start-up campus will power jobs in the advanced tertiary sub-sectors of entertainment, media and technology. Combined with the practitioners already onsite, the power of the creative industry at the Convent will be formidable.</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iCs/>
                <w:sz w:val="24"/>
                <w:szCs w:val="32"/>
                <w:lang w:val="en-US"/>
              </w:rPr>
              <w:t>If restoration support for the Convent from the federal government can not be funded by the heritage department, support for the upper floors could come from the federal government’s Entrepreneur’s Infrastructure Fund. Support for the precinct’s tourism outcomes could come from the Department of Regional Development. </w:t>
            </w:r>
          </w:p>
          <w:p w:rsidR="00C878B1" w:rsidRPr="00D831FE" w:rsidRDefault="00C878B1" w:rsidP="00D831FE">
            <w:pPr>
              <w:widowControl w:val="0"/>
              <w:autoSpaceDE w:val="0"/>
              <w:autoSpaceDN w:val="0"/>
              <w:adjustRightInd w:val="0"/>
              <w:spacing w:after="0" w:line="240" w:lineRule="auto"/>
              <w:rPr>
                <w:rFonts w:ascii="Arial" w:hAnsi="Arial" w:cs="ArialMT"/>
                <w:color w:val="E13AF9"/>
                <w:sz w:val="24"/>
                <w:szCs w:val="32"/>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iCs/>
                <w:sz w:val="24"/>
                <w:szCs w:val="32"/>
                <w:lang w:val="en-US"/>
              </w:rPr>
              <w:t>Whilst sustainability interventions to retrofit heritage buildings for adaptive reuse save much energy and resources, many federal government funding programs within the Department of Environment only fund energy use reduction. This is impossible to quantify if heritage buildings have been sitting unused for a number of years. Criteria for programs such as the Emissions Reduction Fund should take into account energy savings made when housing businesses into already built but currently empty, buildings.</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iCs/>
                <w:sz w:val="24"/>
                <w:szCs w:val="32"/>
                <w:lang w:val="en-US"/>
              </w:rPr>
              <w:t xml:space="preserve">The above examples show how support and representation by the Minister responsible for Heritage to other departments can be directed to support heritage outcomes. When the federal government funds heritage outcomes, the department or Minister can leverage that </w:t>
            </w:r>
            <w:proofErr w:type="gramStart"/>
            <w:r w:rsidRPr="00D831FE">
              <w:rPr>
                <w:rFonts w:ascii="Arial" w:hAnsi="Arial" w:cs="ArialMT"/>
                <w:iCs/>
                <w:sz w:val="24"/>
                <w:szCs w:val="32"/>
                <w:lang w:val="en-US"/>
              </w:rPr>
              <w:t>support  and</w:t>
            </w:r>
            <w:proofErr w:type="gramEnd"/>
            <w:r w:rsidRPr="00D831FE">
              <w:rPr>
                <w:rFonts w:ascii="Arial" w:hAnsi="Arial" w:cs="ArialMT"/>
                <w:iCs/>
                <w:sz w:val="24"/>
                <w:szCs w:val="32"/>
                <w:lang w:val="en-US"/>
              </w:rPr>
              <w:t> encourage other areas of government to participate in funding that project (eg. Federal government support contingent on further state support etc.)</w:t>
            </w: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u w:val="single"/>
                <w:lang w:val="en-US"/>
              </w:rPr>
            </w:pPr>
            <w:r w:rsidRPr="00D831FE">
              <w:rPr>
                <w:rFonts w:ascii="Arial" w:hAnsi="Arial" w:cs="ArialMT"/>
                <w:sz w:val="24"/>
                <w:szCs w:val="32"/>
                <w:u w:val="single"/>
                <w:lang w:val="en-US"/>
              </w:rPr>
              <w:t>Leadership: The Abbotsford Convent Foundation is a Showcase Heritage Site</w:t>
            </w:r>
          </w:p>
          <w:p w:rsidR="00C878B1" w:rsidRPr="00D831FE" w:rsidRDefault="00C878B1" w:rsidP="00D831FE">
            <w:pPr>
              <w:widowControl w:val="0"/>
              <w:autoSpaceDE w:val="0"/>
              <w:autoSpaceDN w:val="0"/>
              <w:adjustRightInd w:val="0"/>
              <w:spacing w:after="0" w:line="240" w:lineRule="auto"/>
              <w:rPr>
                <w:rFonts w:ascii="Arial" w:hAnsi="Arial" w:cs="ArialMT"/>
                <w:color w:val="E34EF9"/>
                <w:sz w:val="24"/>
                <w:szCs w:val="32"/>
                <w:lang w:val="en-US"/>
              </w:rPr>
            </w:pPr>
            <w:r w:rsidRPr="00D831FE">
              <w:rPr>
                <w:rFonts w:ascii="Arial" w:hAnsi="Arial" w:cs="ArialMT"/>
                <w:i/>
                <w:iCs/>
                <w:sz w:val="24"/>
                <w:szCs w:val="32"/>
                <w:lang w:val="en-US"/>
              </w:rPr>
              <w:t xml:space="preserve">Once </w:t>
            </w:r>
            <w:r w:rsidRPr="00D831FE">
              <w:rPr>
                <w:rFonts w:ascii="Arial" w:hAnsi="Arial" w:cs="ArialMT"/>
                <w:sz w:val="24"/>
                <w:szCs w:val="32"/>
                <w:lang w:val="en-US"/>
              </w:rPr>
              <w:t xml:space="preserve">restored, the Convent will require </w:t>
            </w:r>
            <w:r w:rsidRPr="00D831FE">
              <w:rPr>
                <w:rFonts w:ascii="Arial" w:hAnsi="Arial" w:cs="ArialMT"/>
                <w:sz w:val="24"/>
                <w:szCs w:val="32"/>
                <w:u w:val="single"/>
                <w:lang w:val="en-US"/>
              </w:rPr>
              <w:t>no future government funding</w:t>
            </w:r>
            <w:r w:rsidRPr="00D831FE">
              <w:rPr>
                <w:rFonts w:ascii="Arial" w:hAnsi="Arial" w:cs="ArialMT"/>
                <w:sz w:val="24"/>
                <w:szCs w:val="32"/>
                <w:lang w:val="en-US"/>
              </w:rPr>
              <w:t xml:space="preserve"> as the associated increase in rental income will ensure the full financing of the ACF's operations into perpetuity.</w:t>
            </w:r>
          </w:p>
          <w:p w:rsidR="00C878B1" w:rsidRPr="00D831FE" w:rsidRDefault="00C878B1" w:rsidP="00D831FE">
            <w:pPr>
              <w:widowControl w:val="0"/>
              <w:autoSpaceDE w:val="0"/>
              <w:autoSpaceDN w:val="0"/>
              <w:adjustRightInd w:val="0"/>
              <w:spacing w:after="0" w:line="240" w:lineRule="auto"/>
              <w:rPr>
                <w:rFonts w:ascii="Arial" w:hAnsi="Arial" w:cs="ArialMT"/>
                <w:color w:val="E13AF9"/>
                <w:sz w:val="24"/>
                <w:szCs w:val="32"/>
                <w:lang w:val="en-US"/>
              </w:rPr>
            </w:pP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iCs/>
                <w:sz w:val="24"/>
                <w:szCs w:val="32"/>
                <w:lang w:val="en-US"/>
              </w:rPr>
              <w:t>The ACF believes that the social enterprise model of activating heritage with congruent commercial activity is the way forward. To this effect, the ACF funds 100% of its operations through commercial activity that annually funds maintenance and some restoration. </w:t>
            </w:r>
          </w:p>
          <w:p w:rsidR="00C878B1" w:rsidRPr="00D831FE" w:rsidRDefault="00C878B1" w:rsidP="00D831FE">
            <w:pPr>
              <w:widowControl w:val="0"/>
              <w:autoSpaceDE w:val="0"/>
              <w:autoSpaceDN w:val="0"/>
              <w:adjustRightInd w:val="0"/>
              <w:spacing w:after="0" w:line="240" w:lineRule="auto"/>
              <w:rPr>
                <w:rFonts w:ascii="Arial" w:hAnsi="Arial" w:cs="ArialMT"/>
                <w:color w:val="E13AF9"/>
                <w:sz w:val="24"/>
                <w:szCs w:val="32"/>
                <w:lang w:val="en-US"/>
              </w:rPr>
            </w:pPr>
            <w:r w:rsidRPr="00D831FE">
              <w:rPr>
                <w:rFonts w:ascii="Arial" w:hAnsi="Arial" w:cs="ArialMT"/>
                <w:color w:val="E34EF9"/>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Calibri"/>
                <w:sz w:val="24"/>
                <w:szCs w:val="30"/>
                <w:lang w:val="en-US"/>
              </w:rPr>
            </w:pPr>
            <w:r w:rsidRPr="00D831FE">
              <w:rPr>
                <w:rFonts w:ascii="Arial" w:hAnsi="Arial" w:cs="ArialMT"/>
                <w:sz w:val="24"/>
                <w:szCs w:val="32"/>
                <w:lang w:val="en-US"/>
              </w:rPr>
              <w:t xml:space="preserve">The ACF advises, at no cost, many other organisations that are interested in learning about its model of social enterprise to activate heritage. During 2010, site tours were undertaken by councillors and </w:t>
            </w:r>
            <w:r w:rsidRPr="00D831FE">
              <w:rPr>
                <w:rFonts w:ascii="Arial" w:hAnsi="Arial" w:cs="ArialMT"/>
                <w:sz w:val="24"/>
                <w:szCs w:val="32"/>
                <w:u w:val="single"/>
                <w:lang w:val="en-US"/>
              </w:rPr>
              <w:t>e</w:t>
            </w:r>
            <w:r w:rsidRPr="00D831FE">
              <w:rPr>
                <w:rFonts w:ascii="Arial" w:hAnsi="Arial" w:cs="ArialMT"/>
                <w:sz w:val="24"/>
                <w:szCs w:val="32"/>
                <w:lang w:val="en-US"/>
              </w:rPr>
              <w:t>xecutives of 103 Australian local councils.  In 2011 the ACF met with 329 Australian community leaders who wanted to replicate the ACF's</w:t>
            </w:r>
            <w:proofErr w:type="gramStart"/>
            <w:r w:rsidRPr="00D831FE">
              <w:rPr>
                <w:rFonts w:ascii="Arial" w:hAnsi="Arial" w:cs="ArialMT"/>
                <w:sz w:val="24"/>
                <w:szCs w:val="32"/>
                <w:lang w:val="en-US"/>
              </w:rPr>
              <w:t>  model</w:t>
            </w:r>
            <w:proofErr w:type="gramEnd"/>
            <w:r w:rsidRPr="00D831FE">
              <w:rPr>
                <w:rFonts w:ascii="Arial" w:hAnsi="Arial" w:cs="ArialMT"/>
                <w:sz w:val="24"/>
                <w:szCs w:val="32"/>
                <w:lang w:val="en-US"/>
              </w:rPr>
              <w:t xml:space="preserve"> of invigorating heritage in their respective towns. </w:t>
            </w:r>
          </w:p>
          <w:p w:rsidR="00C878B1" w:rsidRPr="00D831FE" w:rsidRDefault="00C878B1" w:rsidP="00D831FE">
            <w:pPr>
              <w:widowControl w:val="0"/>
              <w:autoSpaceDE w:val="0"/>
              <w:autoSpaceDN w:val="0"/>
              <w:adjustRightInd w:val="0"/>
              <w:spacing w:after="0" w:line="240" w:lineRule="auto"/>
              <w:rPr>
                <w:rFonts w:ascii="Arial" w:hAnsi="Arial" w:cs="Calibri"/>
                <w:sz w:val="24"/>
                <w:szCs w:val="30"/>
                <w:lang w:val="en-US"/>
              </w:rPr>
            </w:pPr>
          </w:p>
          <w:p w:rsidR="00C878B1" w:rsidRPr="00D831FE" w:rsidRDefault="00C878B1" w:rsidP="00D831FE">
            <w:pPr>
              <w:widowControl w:val="0"/>
              <w:autoSpaceDE w:val="0"/>
              <w:autoSpaceDN w:val="0"/>
              <w:adjustRightInd w:val="0"/>
              <w:spacing w:after="0" w:line="240" w:lineRule="auto"/>
              <w:rPr>
                <w:rFonts w:ascii="Arial" w:hAnsi="Arial" w:cs="Calibri"/>
                <w:sz w:val="24"/>
                <w:szCs w:val="30"/>
                <w:lang w:val="en-US"/>
              </w:rPr>
            </w:pPr>
            <w:r w:rsidRPr="00D831FE">
              <w:rPr>
                <w:rFonts w:ascii="Arial" w:hAnsi="Arial" w:cs="ArialMT"/>
                <w:sz w:val="24"/>
                <w:szCs w:val="32"/>
                <w:lang w:val="en-US"/>
              </w:rPr>
              <w:t xml:space="preserve">The ACF has also observed a high level of desire in </w:t>
            </w:r>
            <w:r w:rsidRPr="00D831FE">
              <w:rPr>
                <w:rFonts w:ascii="Arial" w:hAnsi="Arial" w:cs="Calibri"/>
                <w:sz w:val="24"/>
                <w:szCs w:val="32"/>
                <w:lang w:val="en-US"/>
              </w:rPr>
              <w:t>the cultural heritage sector</w:t>
            </w:r>
            <w:proofErr w:type="gramStart"/>
            <w:r w:rsidRPr="00D831FE">
              <w:rPr>
                <w:rFonts w:ascii="Arial" w:hAnsi="Arial" w:cs="ArialMT"/>
                <w:sz w:val="24"/>
                <w:szCs w:val="32"/>
                <w:lang w:val="en-US"/>
              </w:rPr>
              <w:t>  for</w:t>
            </w:r>
            <w:proofErr w:type="gramEnd"/>
            <w:r w:rsidRPr="00D831FE">
              <w:rPr>
                <w:rFonts w:ascii="Arial" w:hAnsi="Arial" w:cs="ArialMT"/>
                <w:sz w:val="24"/>
                <w:szCs w:val="32"/>
                <w:lang w:val="en-US"/>
              </w:rPr>
              <w:t xml:space="preserve"> knowledge about alternative ways to fund heritage sites. The ACF would happily provide the Department of Heritage, free of charge, conference spaces at the Convent if the Department of Heritage wanted to hold a knowledge-sharing forum or conference for managers of heritage sites to gather and discuss commercial activities.    </w:t>
            </w:r>
          </w:p>
          <w:p w:rsidR="00C878B1" w:rsidRPr="00D831FE" w:rsidRDefault="00C878B1" w:rsidP="00D831FE">
            <w:pPr>
              <w:widowControl w:val="0"/>
              <w:autoSpaceDE w:val="0"/>
              <w:autoSpaceDN w:val="0"/>
              <w:adjustRightInd w:val="0"/>
              <w:spacing w:after="0" w:line="240" w:lineRule="auto"/>
              <w:rPr>
                <w:rFonts w:ascii="Arial" w:hAnsi="Arial" w:cs="ArialMT"/>
                <w:color w:val="E13AF9"/>
                <w:sz w:val="24"/>
                <w:szCs w:val="32"/>
                <w:lang w:val="en-US"/>
              </w:rPr>
            </w:pPr>
            <w:r w:rsidRPr="00D831FE">
              <w:rPr>
                <w:rFonts w:ascii="Arial" w:hAnsi="Arial" w:cs="ArialMT"/>
                <w:color w:val="E34EF9"/>
                <w:sz w:val="24"/>
                <w:szCs w:val="32"/>
                <w:lang w:val="en-US"/>
              </w:rPr>
              <w:t> </w:t>
            </w:r>
          </w:p>
          <w:p w:rsidR="00C878B1" w:rsidRPr="00D831FE" w:rsidRDefault="00C878B1" w:rsidP="00D831FE">
            <w:pPr>
              <w:widowControl w:val="0"/>
              <w:autoSpaceDE w:val="0"/>
              <w:autoSpaceDN w:val="0"/>
              <w:adjustRightInd w:val="0"/>
              <w:spacing w:after="0" w:line="240" w:lineRule="auto"/>
              <w:rPr>
                <w:rFonts w:ascii="Arial" w:hAnsi="Arial" w:cs="ArialMT"/>
                <w:sz w:val="24"/>
                <w:szCs w:val="32"/>
                <w:lang w:val="en-US"/>
              </w:rPr>
            </w:pPr>
            <w:r w:rsidRPr="00D831FE">
              <w:rPr>
                <w:rFonts w:ascii="Arial" w:hAnsi="Arial" w:cs="ArialMT"/>
                <w:sz w:val="24"/>
                <w:szCs w:val="32"/>
                <w:lang w:val="en-US"/>
              </w:rPr>
              <w:t>Please see the link below as an example of how the ACF shares its knowledge about building capacity in the heritage sector to self-fund invigoration:</w:t>
            </w:r>
          </w:p>
          <w:p w:rsidR="00C878B1" w:rsidRPr="00D831FE" w:rsidRDefault="00392406" w:rsidP="00D831FE">
            <w:pPr>
              <w:widowControl w:val="0"/>
              <w:autoSpaceDE w:val="0"/>
              <w:autoSpaceDN w:val="0"/>
              <w:adjustRightInd w:val="0"/>
              <w:spacing w:after="0" w:line="240" w:lineRule="auto"/>
              <w:rPr>
                <w:rFonts w:ascii="Arial" w:hAnsi="Arial" w:cs="ArialMT"/>
                <w:color w:val="E13AF9"/>
                <w:sz w:val="24"/>
                <w:szCs w:val="32"/>
                <w:lang w:val="en-US"/>
              </w:rPr>
            </w:pPr>
            <w:hyperlink r:id="rId7" w:history="1">
              <w:r w:rsidR="00C878B1" w:rsidRPr="00D831FE">
                <w:rPr>
                  <w:rFonts w:ascii="Arial" w:hAnsi="Arial" w:cs="ArialMT"/>
                  <w:color w:val="0026E2"/>
                  <w:sz w:val="24"/>
                  <w:szCs w:val="32"/>
                  <w:lang w:val="en-US"/>
                </w:rPr>
                <w:t>http://www.heraldsun.com.au/leader/north/sunbury-asylum-alliance-campaigns-for-new-abbotsford-convent-style-hub-at-jacksons-hill/story-fnglenug-1226940299611</w:t>
              </w:r>
            </w:hyperlink>
          </w:p>
          <w:p w:rsidR="00C878B1" w:rsidRPr="00D831FE" w:rsidRDefault="00C878B1" w:rsidP="00D831FE">
            <w:pPr>
              <w:widowControl w:val="0"/>
              <w:autoSpaceDE w:val="0"/>
              <w:autoSpaceDN w:val="0"/>
              <w:adjustRightInd w:val="0"/>
              <w:spacing w:after="80" w:line="240" w:lineRule="auto"/>
              <w:rPr>
                <w:rFonts w:ascii="Arial" w:hAnsi="Arial" w:cs="ArialMT"/>
                <w:color w:val="E34EF9"/>
                <w:sz w:val="24"/>
                <w:szCs w:val="32"/>
                <w:lang w:val="en-US"/>
              </w:rPr>
            </w:pPr>
            <w:r w:rsidRPr="00D831FE">
              <w:rPr>
                <w:rFonts w:ascii="Arial" w:hAnsi="Arial" w:cs="ArialMT"/>
                <w:color w:val="E34EF9"/>
                <w:sz w:val="24"/>
                <w:szCs w:val="32"/>
                <w:lang w:val="en-US"/>
              </w:rPr>
              <w:t> </w:t>
            </w:r>
          </w:p>
          <w:p w:rsidR="00C878B1" w:rsidRPr="00D831FE" w:rsidRDefault="00C878B1" w:rsidP="00D831FE">
            <w:pPr>
              <w:widowControl w:val="0"/>
              <w:autoSpaceDE w:val="0"/>
              <w:autoSpaceDN w:val="0"/>
              <w:adjustRightInd w:val="0"/>
              <w:spacing w:after="80" w:line="240" w:lineRule="auto"/>
              <w:rPr>
                <w:rFonts w:ascii="Arial" w:hAnsi="Arial" w:cs="ArialMT"/>
                <w:sz w:val="24"/>
                <w:szCs w:val="32"/>
                <w:u w:val="single"/>
                <w:lang w:val="en-US"/>
              </w:rPr>
            </w:pPr>
            <w:r w:rsidRPr="00D831FE">
              <w:rPr>
                <w:rFonts w:ascii="Arial" w:hAnsi="Arial" w:cs="ArialMT"/>
                <w:sz w:val="24"/>
                <w:szCs w:val="32"/>
                <w:u w:val="single"/>
                <w:lang w:val="en-US"/>
              </w:rPr>
              <w:t>Green Army Programs</w:t>
            </w:r>
          </w:p>
          <w:p w:rsidR="00C878B1" w:rsidRPr="00D831FE" w:rsidRDefault="00C878B1" w:rsidP="00D831FE">
            <w:pPr>
              <w:widowControl w:val="0"/>
              <w:autoSpaceDE w:val="0"/>
              <w:autoSpaceDN w:val="0"/>
              <w:adjustRightInd w:val="0"/>
              <w:spacing w:after="80" w:line="240" w:lineRule="auto"/>
              <w:rPr>
                <w:rFonts w:ascii="Arial" w:hAnsi="Arial" w:cs="Calibri"/>
                <w:sz w:val="24"/>
                <w:szCs w:val="30"/>
                <w:lang w:val="en-US"/>
              </w:rPr>
            </w:pPr>
            <w:r w:rsidRPr="00D831FE">
              <w:rPr>
                <w:rFonts w:ascii="Arial" w:hAnsi="Arial" w:cs="ArialMT"/>
                <w:sz w:val="24"/>
                <w:szCs w:val="32"/>
                <w:lang w:val="en-US"/>
              </w:rPr>
              <w:t>The ACF has experience working with those who are unemployed through the Howard Government’s Green Corps Program. Whilst well intentioned, there were some complex issues relating to the Green Corps' involvement, creating strain and stress on the under resourced gardening team. In that case, impact versus resources required to manage the project, were unaligned. There would be a number of challenges for the ACF to overcome before accommodating another Green Corps style of program onsite. </w:t>
            </w:r>
          </w:p>
          <w:p w:rsidR="00C878B1" w:rsidRPr="00FF7EB8" w:rsidRDefault="00C878B1" w:rsidP="00FF7EB8">
            <w:pPr>
              <w:spacing w:before="60" w:after="60" w:line="240" w:lineRule="auto"/>
              <w:outlineLvl w:val="1"/>
              <w:rPr>
                <w:rFonts w:ascii="Arial" w:hAnsi="Arial" w:cs="Arial"/>
                <w:sz w:val="24"/>
                <w:lang w:eastAsia="en-AU"/>
              </w:rPr>
            </w:pPr>
          </w:p>
        </w:tc>
      </w:tr>
      <w:tr w:rsidR="00C878B1">
        <w:trPr>
          <w:trHeight w:val="809"/>
        </w:trPr>
        <w:tc>
          <w:tcPr>
            <w:tcW w:w="9926" w:type="dxa"/>
            <w:gridSpan w:val="2"/>
            <w:shd w:val="clear" w:color="auto" w:fill="C6D9F1"/>
          </w:tcPr>
          <w:p w:rsidR="00C878B1" w:rsidRPr="005D4CD1" w:rsidRDefault="00C878B1" w:rsidP="005D4CD1">
            <w:pPr>
              <w:pStyle w:val="ListNumber"/>
              <w:numPr>
                <w:ilvl w:val="0"/>
                <w:numId w:val="25"/>
              </w:numPr>
              <w:rPr>
                <w:b/>
              </w:rPr>
            </w:pPr>
            <w:r w:rsidRPr="005D4CD1">
              <w:rPr>
                <w:b/>
              </w:rPr>
              <w:lastRenderedPageBreak/>
              <w:t>Pursue Innovative Partnerships</w:t>
            </w:r>
          </w:p>
          <w:p w:rsidR="00C878B1" w:rsidRPr="005D4CD1" w:rsidRDefault="00C878B1" w:rsidP="005D4CD1">
            <w:pPr>
              <w:ind w:left="369"/>
              <w:rPr>
                <w:rFonts w:ascii="Arial" w:hAnsi="Arial" w:cs="Arial"/>
              </w:rPr>
            </w:pPr>
            <w:r w:rsidRPr="005D4CD1">
              <w:rPr>
                <w:rFonts w:ascii="Arial" w:hAnsi="Arial" w:cs="Arial"/>
              </w:rPr>
              <w:t xml:space="preserve">What partnerships are most needed within the heritage sector? </w:t>
            </w:r>
          </w:p>
          <w:p w:rsidR="00C878B1" w:rsidRPr="005D4CD1" w:rsidRDefault="00C878B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C878B1" w:rsidRPr="005D4CD1" w:rsidRDefault="00C878B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C878B1" w:rsidRPr="005D4CD1" w:rsidRDefault="00C878B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C878B1" w:rsidRDefault="00C878B1" w:rsidP="00C56567">
            <w:pPr>
              <w:spacing w:before="60" w:after="60" w:line="240" w:lineRule="auto"/>
              <w:outlineLvl w:val="1"/>
              <w:rPr>
                <w:sz w:val="24"/>
                <w:lang w:eastAsia="en-AU"/>
              </w:rPr>
            </w:pPr>
          </w:p>
        </w:tc>
      </w:tr>
      <w:tr w:rsidR="00C878B1">
        <w:trPr>
          <w:trHeight w:val="1119"/>
        </w:trPr>
        <w:tc>
          <w:tcPr>
            <w:tcW w:w="9926" w:type="dxa"/>
            <w:gridSpan w:val="2"/>
          </w:tcPr>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tc>
      </w:tr>
      <w:tr w:rsidR="00C878B1">
        <w:trPr>
          <w:trHeight w:val="458"/>
        </w:trPr>
        <w:tc>
          <w:tcPr>
            <w:tcW w:w="9926" w:type="dxa"/>
            <w:gridSpan w:val="2"/>
            <w:shd w:val="clear" w:color="auto" w:fill="C6D9F1"/>
          </w:tcPr>
          <w:p w:rsidR="00C878B1" w:rsidRPr="005D4CD1" w:rsidRDefault="00C878B1" w:rsidP="005D4CD1">
            <w:pPr>
              <w:pStyle w:val="ListNumber"/>
              <w:numPr>
                <w:ilvl w:val="0"/>
                <w:numId w:val="25"/>
              </w:numPr>
              <w:rPr>
                <w:b/>
              </w:rPr>
            </w:pPr>
            <w:r w:rsidRPr="005D4CD1">
              <w:rPr>
                <w:b/>
              </w:rPr>
              <w:t>Enable encourage communities to understand and care for their heritage</w:t>
            </w:r>
          </w:p>
          <w:p w:rsidR="00C878B1" w:rsidRPr="005D4CD1" w:rsidRDefault="00C878B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C878B1" w:rsidRPr="005D4CD1" w:rsidRDefault="00C878B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C878B1" w:rsidRPr="005D4CD1" w:rsidRDefault="00C878B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C878B1" w:rsidRPr="005D4CD1" w:rsidRDefault="00C878B1" w:rsidP="005D4CD1">
            <w:pPr>
              <w:ind w:left="369"/>
              <w:rPr>
                <w:rFonts w:ascii="Arial" w:hAnsi="Arial" w:cs="Arial"/>
              </w:rPr>
            </w:pPr>
            <w:r w:rsidRPr="005D4CD1">
              <w:rPr>
                <w:rFonts w:ascii="Arial" w:hAnsi="Arial" w:cs="Arial"/>
              </w:rPr>
              <w:t>What is the role of technology and new media in providing greater community access to heritage?</w:t>
            </w:r>
          </w:p>
          <w:p w:rsidR="00C878B1" w:rsidRPr="005D4CD1" w:rsidRDefault="00C878B1" w:rsidP="00C56567">
            <w:pPr>
              <w:spacing w:before="60" w:after="60" w:line="240" w:lineRule="auto"/>
              <w:outlineLvl w:val="1"/>
              <w:rPr>
                <w:rFonts w:ascii="Arial" w:hAnsi="Arial" w:cs="Arial"/>
                <w:sz w:val="24"/>
                <w:lang w:eastAsia="en-AU"/>
              </w:rPr>
            </w:pPr>
          </w:p>
        </w:tc>
      </w:tr>
      <w:tr w:rsidR="00C878B1">
        <w:trPr>
          <w:trHeight w:val="979"/>
        </w:trPr>
        <w:tc>
          <w:tcPr>
            <w:tcW w:w="9926" w:type="dxa"/>
            <w:gridSpan w:val="2"/>
          </w:tcPr>
          <w:p w:rsidR="00C878B1" w:rsidRDefault="00C878B1" w:rsidP="003D3C13">
            <w:pPr>
              <w:spacing w:before="60" w:after="60" w:line="240" w:lineRule="auto"/>
              <w:outlineLvl w:val="1"/>
              <w:rPr>
                <w:sz w:val="24"/>
                <w:lang w:eastAsia="en-AU"/>
              </w:rPr>
            </w:pPr>
          </w:p>
        </w:tc>
      </w:tr>
      <w:tr w:rsidR="00C878B1">
        <w:trPr>
          <w:trHeight w:val="407"/>
        </w:trPr>
        <w:tc>
          <w:tcPr>
            <w:tcW w:w="9926" w:type="dxa"/>
            <w:gridSpan w:val="2"/>
            <w:shd w:val="clear" w:color="auto" w:fill="C6D9F1"/>
          </w:tcPr>
          <w:p w:rsidR="00C878B1" w:rsidRPr="005D4CD1" w:rsidRDefault="00C878B1" w:rsidP="003D3C13">
            <w:pPr>
              <w:spacing w:before="60" w:after="60" w:line="240" w:lineRule="auto"/>
              <w:outlineLvl w:val="1"/>
              <w:rPr>
                <w:b/>
                <w:sz w:val="24"/>
                <w:lang w:eastAsia="en-AU"/>
              </w:rPr>
            </w:pPr>
            <w:r w:rsidRPr="005D4CD1">
              <w:rPr>
                <w:b/>
                <w:sz w:val="24"/>
                <w:lang w:eastAsia="en-AU"/>
              </w:rPr>
              <w:t>Other comments</w:t>
            </w:r>
          </w:p>
        </w:tc>
      </w:tr>
      <w:tr w:rsidR="00C878B1">
        <w:trPr>
          <w:trHeight w:val="847"/>
        </w:trPr>
        <w:tc>
          <w:tcPr>
            <w:tcW w:w="9926" w:type="dxa"/>
            <w:gridSpan w:val="2"/>
          </w:tcPr>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p w:rsidR="00C878B1" w:rsidRDefault="00C878B1" w:rsidP="003D3C13">
            <w:pPr>
              <w:spacing w:before="60" w:after="60" w:line="240" w:lineRule="auto"/>
              <w:outlineLvl w:val="1"/>
              <w:rPr>
                <w:sz w:val="24"/>
                <w:lang w:eastAsia="en-AU"/>
              </w:rPr>
            </w:pPr>
          </w:p>
        </w:tc>
      </w:tr>
    </w:tbl>
    <w:p w:rsidR="00C878B1" w:rsidRPr="004E3AA0" w:rsidRDefault="00C878B1" w:rsidP="007F1A58">
      <w:pPr>
        <w:rPr>
          <w:b/>
          <w:sz w:val="18"/>
        </w:rPr>
      </w:pPr>
    </w:p>
    <w:sectPr w:rsidR="00C878B1" w:rsidRPr="004E3AA0" w:rsidSect="007C3B3F">
      <w:headerReference w:type="even" r:id="rId8"/>
      <w:headerReference w:type="default" r:id="rId9"/>
      <w:footerReference w:type="default" r:id="rId10"/>
      <w:headerReference w:type="first" r:id="rId11"/>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8B1" w:rsidRDefault="00C878B1" w:rsidP="00A60185">
      <w:pPr>
        <w:spacing w:after="0" w:line="240" w:lineRule="auto"/>
      </w:pPr>
      <w:r>
        <w:separator/>
      </w:r>
    </w:p>
  </w:endnote>
  <w:endnote w:type="continuationSeparator" w:id="0">
    <w:p w:rsidR="00C878B1" w:rsidRDefault="00C878B1"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B1" w:rsidRDefault="00392406">
    <w:pPr>
      <w:pStyle w:val="Footer"/>
      <w:jc w:val="center"/>
    </w:pPr>
    <w:fldSimple w:instr=" PAGE   \* MERGEFORMAT ">
      <w:r w:rsidR="00862E27">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8B1" w:rsidRDefault="00C878B1" w:rsidP="00A60185">
      <w:pPr>
        <w:spacing w:after="0" w:line="240" w:lineRule="auto"/>
      </w:pPr>
      <w:r>
        <w:separator/>
      </w:r>
    </w:p>
  </w:footnote>
  <w:footnote w:type="continuationSeparator" w:id="0">
    <w:p w:rsidR="00C878B1" w:rsidRDefault="00C878B1"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B1" w:rsidRDefault="00392406" w:rsidP="00E45765">
    <w:pPr>
      <w:pStyle w:val="Classification"/>
    </w:pPr>
    <w:r>
      <w:fldChar w:fldCharType="begin"/>
    </w:r>
    <w:r w:rsidR="00C878B1">
      <w:instrText xml:space="preserve"> DOCPROPERTY SecurityClassification \* MERGEFORMAT </w:instrText>
    </w:r>
    <w:r>
      <w:fldChar w:fldCharType="separate"/>
    </w:r>
    <w:r w:rsidR="00C878B1">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B1" w:rsidRDefault="00392406">
    <w:pPr>
      <w:pStyle w:val="Header"/>
    </w:pPr>
    <w:r w:rsidRPr="00392406">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margin-left:-17.05pt;margin-top:-8.6pt;width:208.2pt;height:61.15pt;z-index:-251658752;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8B1" w:rsidRDefault="00392406">
    <w:pPr>
      <w:pStyle w:val="Header"/>
    </w:pPr>
    <w:r w:rsidRPr="00392406">
      <w:rPr>
        <w:noProof/>
        <w:sz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2.75pt;height:66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A693D4"/>
    <w:lvl w:ilvl="0">
      <w:start w:val="1"/>
      <w:numFmt w:val="decimal"/>
      <w:lvlText w:val="%1."/>
      <w:lvlJc w:val="left"/>
      <w:pPr>
        <w:tabs>
          <w:tab w:val="num" w:pos="1492"/>
        </w:tabs>
        <w:ind w:left="1492" w:hanging="360"/>
      </w:pPr>
    </w:lvl>
  </w:abstractNum>
  <w:abstractNum w:abstractNumId="1">
    <w:nsid w:val="FFFFFF7D"/>
    <w:multiLevelType w:val="singleLevel"/>
    <w:tmpl w:val="A2ECA314"/>
    <w:lvl w:ilvl="0">
      <w:start w:val="1"/>
      <w:numFmt w:val="decimal"/>
      <w:lvlText w:val="%1."/>
      <w:lvlJc w:val="left"/>
      <w:pPr>
        <w:tabs>
          <w:tab w:val="num" w:pos="1209"/>
        </w:tabs>
        <w:ind w:left="1209" w:hanging="360"/>
      </w:pPr>
    </w:lvl>
  </w:abstractNum>
  <w:abstractNum w:abstractNumId="2">
    <w:nsid w:val="FFFFFF7E"/>
    <w:multiLevelType w:val="singleLevel"/>
    <w:tmpl w:val="29120CB6"/>
    <w:lvl w:ilvl="0">
      <w:start w:val="1"/>
      <w:numFmt w:val="decimal"/>
      <w:lvlText w:val="%1."/>
      <w:lvlJc w:val="left"/>
      <w:pPr>
        <w:tabs>
          <w:tab w:val="num" w:pos="926"/>
        </w:tabs>
        <w:ind w:left="926" w:hanging="360"/>
      </w:pPr>
    </w:lvl>
  </w:abstractNum>
  <w:abstractNum w:abstractNumId="3">
    <w:nsid w:val="FFFFFF7F"/>
    <w:multiLevelType w:val="singleLevel"/>
    <w:tmpl w:val="75EC6874"/>
    <w:lvl w:ilvl="0">
      <w:start w:val="1"/>
      <w:numFmt w:val="decimal"/>
      <w:lvlText w:val="%1."/>
      <w:lvlJc w:val="left"/>
      <w:pPr>
        <w:tabs>
          <w:tab w:val="num" w:pos="643"/>
        </w:tabs>
        <w:ind w:left="643" w:hanging="360"/>
      </w:pPr>
    </w:lvl>
  </w:abstractNum>
  <w:abstractNum w:abstractNumId="4">
    <w:nsid w:val="FFFFFF80"/>
    <w:multiLevelType w:val="singleLevel"/>
    <w:tmpl w:val="5022BB42"/>
    <w:lvl w:ilvl="0">
      <w:start w:val="1"/>
      <w:numFmt w:val="bullet"/>
      <w:pStyle w:val="ListNumber5"/>
      <w:lvlText w:val=""/>
      <w:lvlJc w:val="left"/>
      <w:pPr>
        <w:tabs>
          <w:tab w:val="num" w:pos="1492"/>
        </w:tabs>
        <w:ind w:left="1492" w:hanging="360"/>
      </w:pPr>
      <w:rPr>
        <w:rFonts w:ascii="Symbol" w:hAnsi="Symbol" w:hint="default"/>
      </w:rPr>
    </w:lvl>
  </w:abstractNum>
  <w:abstractNum w:abstractNumId="5">
    <w:nsid w:val="FFFFFF81"/>
    <w:multiLevelType w:val="singleLevel"/>
    <w:tmpl w:val="9B86FF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D411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F4E77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60C1378"/>
    <w:lvl w:ilvl="0">
      <w:start w:val="1"/>
      <w:numFmt w:val="decimal"/>
      <w:pStyle w:val="ListBullet5"/>
      <w:lvlText w:val="%1."/>
      <w:lvlJc w:val="left"/>
      <w:pPr>
        <w:tabs>
          <w:tab w:val="num" w:pos="360"/>
        </w:tabs>
        <w:ind w:left="360" w:hanging="360"/>
      </w:pPr>
    </w:lvl>
  </w:abstractNum>
  <w:abstractNum w:abstractNumId="9">
    <w:nsid w:val="FFFFFF89"/>
    <w:multiLevelType w:val="singleLevel"/>
    <w:tmpl w:val="5CE8C722"/>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1F745BC2"/>
    <w:multiLevelType w:val="multilevel"/>
    <w:tmpl w:val="E5E89F9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61C7DAA"/>
    <w:multiLevelType w:val="multilevel"/>
    <w:tmpl w:val="CAA83148"/>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5456429"/>
    <w:multiLevelType w:val="multilevel"/>
    <w:tmpl w:val="E898CC7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2964D5"/>
    <w:multiLevelType w:val="multilevel"/>
    <w:tmpl w:val="E898CC72"/>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num>
  <w:num w:numId="22">
    <w:abstractNumId w:val="10"/>
  </w:num>
  <w:num w:numId="23">
    <w:abstractNumId w:val="13"/>
  </w:num>
  <w:num w:numId="24">
    <w:abstractNumId w:val="12"/>
  </w:num>
  <w:num w:numId="25">
    <w:abstractNumId w:val="14"/>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oNotTrackMoves/>
  <w:defaultTabStop w:val="720"/>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SecurityClassificationInHeader" w:val="False"/>
  </w:docVars>
  <w:rsids>
    <w:rsidRoot w:val="00271FAA"/>
    <w:rsid w:val="00004AEE"/>
    <w:rsid w:val="00005CAA"/>
    <w:rsid w:val="00010210"/>
    <w:rsid w:val="00012D66"/>
    <w:rsid w:val="00015ADA"/>
    <w:rsid w:val="00020C99"/>
    <w:rsid w:val="0002707B"/>
    <w:rsid w:val="00033213"/>
    <w:rsid w:val="000341CC"/>
    <w:rsid w:val="0005148E"/>
    <w:rsid w:val="00072C5A"/>
    <w:rsid w:val="000730AD"/>
    <w:rsid w:val="000759E5"/>
    <w:rsid w:val="00077061"/>
    <w:rsid w:val="00084AC6"/>
    <w:rsid w:val="00091608"/>
    <w:rsid w:val="0009333C"/>
    <w:rsid w:val="0009346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6F08"/>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32B9F"/>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65A"/>
    <w:rsid w:val="003218E8"/>
    <w:rsid w:val="00325E34"/>
    <w:rsid w:val="00330DCE"/>
    <w:rsid w:val="00331E11"/>
    <w:rsid w:val="00334761"/>
    <w:rsid w:val="00337EBC"/>
    <w:rsid w:val="00341DCD"/>
    <w:rsid w:val="0034563E"/>
    <w:rsid w:val="003518D6"/>
    <w:rsid w:val="00353AD1"/>
    <w:rsid w:val="0035460C"/>
    <w:rsid w:val="003556BD"/>
    <w:rsid w:val="003562C0"/>
    <w:rsid w:val="00365147"/>
    <w:rsid w:val="0037016E"/>
    <w:rsid w:val="00372908"/>
    <w:rsid w:val="00383020"/>
    <w:rsid w:val="00392406"/>
    <w:rsid w:val="00394D7E"/>
    <w:rsid w:val="003975FD"/>
    <w:rsid w:val="003B057D"/>
    <w:rsid w:val="003B60CC"/>
    <w:rsid w:val="003C1B25"/>
    <w:rsid w:val="003C2443"/>
    <w:rsid w:val="003C5DA3"/>
    <w:rsid w:val="003D25F5"/>
    <w:rsid w:val="003D3B13"/>
    <w:rsid w:val="003D3C13"/>
    <w:rsid w:val="003D4BCD"/>
    <w:rsid w:val="003D6C2B"/>
    <w:rsid w:val="003E01D8"/>
    <w:rsid w:val="003E2100"/>
    <w:rsid w:val="003F6F5B"/>
    <w:rsid w:val="0040342D"/>
    <w:rsid w:val="00406B0D"/>
    <w:rsid w:val="0041192D"/>
    <w:rsid w:val="00413EE1"/>
    <w:rsid w:val="0042128E"/>
    <w:rsid w:val="00432B60"/>
    <w:rsid w:val="004365F2"/>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46EF"/>
    <w:rsid w:val="00545759"/>
    <w:rsid w:val="00545BE0"/>
    <w:rsid w:val="00546930"/>
    <w:rsid w:val="00554C6A"/>
    <w:rsid w:val="00560A4C"/>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3278"/>
    <w:rsid w:val="00646122"/>
    <w:rsid w:val="00652151"/>
    <w:rsid w:val="00652A12"/>
    <w:rsid w:val="00653E16"/>
    <w:rsid w:val="00657220"/>
    <w:rsid w:val="00657362"/>
    <w:rsid w:val="0066104B"/>
    <w:rsid w:val="00663D83"/>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31AF"/>
    <w:rsid w:val="006F40E9"/>
    <w:rsid w:val="006F5603"/>
    <w:rsid w:val="00701400"/>
    <w:rsid w:val="007037CF"/>
    <w:rsid w:val="007167C0"/>
    <w:rsid w:val="0072018A"/>
    <w:rsid w:val="00720481"/>
    <w:rsid w:val="007300C8"/>
    <w:rsid w:val="00733193"/>
    <w:rsid w:val="00744DDA"/>
    <w:rsid w:val="00745E03"/>
    <w:rsid w:val="0075732A"/>
    <w:rsid w:val="007600F8"/>
    <w:rsid w:val="00760262"/>
    <w:rsid w:val="0076310C"/>
    <w:rsid w:val="0076593D"/>
    <w:rsid w:val="00766203"/>
    <w:rsid w:val="0076744F"/>
    <w:rsid w:val="00767BCE"/>
    <w:rsid w:val="00767EFC"/>
    <w:rsid w:val="007707DE"/>
    <w:rsid w:val="00770B5D"/>
    <w:rsid w:val="00774405"/>
    <w:rsid w:val="007752F1"/>
    <w:rsid w:val="00776768"/>
    <w:rsid w:val="0078187A"/>
    <w:rsid w:val="007833A8"/>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46E2"/>
    <w:rsid w:val="007F4D44"/>
    <w:rsid w:val="007F5D8A"/>
    <w:rsid w:val="00800F64"/>
    <w:rsid w:val="00801050"/>
    <w:rsid w:val="00802F0B"/>
    <w:rsid w:val="00810A67"/>
    <w:rsid w:val="00833CF7"/>
    <w:rsid w:val="00834CDE"/>
    <w:rsid w:val="00842464"/>
    <w:rsid w:val="00845601"/>
    <w:rsid w:val="00854278"/>
    <w:rsid w:val="00855C5C"/>
    <w:rsid w:val="00862E27"/>
    <w:rsid w:val="00875497"/>
    <w:rsid w:val="0087578A"/>
    <w:rsid w:val="00894C26"/>
    <w:rsid w:val="008A3C96"/>
    <w:rsid w:val="008B4019"/>
    <w:rsid w:val="008B65C9"/>
    <w:rsid w:val="008B6951"/>
    <w:rsid w:val="008C2D4A"/>
    <w:rsid w:val="008D3900"/>
    <w:rsid w:val="008D6E1D"/>
    <w:rsid w:val="008E4B8D"/>
    <w:rsid w:val="008F0D14"/>
    <w:rsid w:val="008F10D7"/>
    <w:rsid w:val="008F39B4"/>
    <w:rsid w:val="008F4162"/>
    <w:rsid w:val="00903E02"/>
    <w:rsid w:val="00913175"/>
    <w:rsid w:val="00916EDB"/>
    <w:rsid w:val="00920861"/>
    <w:rsid w:val="00922B13"/>
    <w:rsid w:val="00923DFF"/>
    <w:rsid w:val="009242EF"/>
    <w:rsid w:val="00932291"/>
    <w:rsid w:val="00932861"/>
    <w:rsid w:val="0093408E"/>
    <w:rsid w:val="00952DDF"/>
    <w:rsid w:val="00963B6A"/>
    <w:rsid w:val="00970950"/>
    <w:rsid w:val="009812D4"/>
    <w:rsid w:val="009920D8"/>
    <w:rsid w:val="009B0EEE"/>
    <w:rsid w:val="009B38BE"/>
    <w:rsid w:val="009B40BB"/>
    <w:rsid w:val="009C3D0F"/>
    <w:rsid w:val="009E02AC"/>
    <w:rsid w:val="009E1B19"/>
    <w:rsid w:val="009F35E2"/>
    <w:rsid w:val="009F65F9"/>
    <w:rsid w:val="009F68BA"/>
    <w:rsid w:val="00A06277"/>
    <w:rsid w:val="00A079DC"/>
    <w:rsid w:val="00A111C2"/>
    <w:rsid w:val="00A15A5A"/>
    <w:rsid w:val="00A17F75"/>
    <w:rsid w:val="00A25291"/>
    <w:rsid w:val="00A32EF6"/>
    <w:rsid w:val="00A338E7"/>
    <w:rsid w:val="00A34FA5"/>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189A"/>
    <w:rsid w:val="00B54DE9"/>
    <w:rsid w:val="00B553EC"/>
    <w:rsid w:val="00B55E3F"/>
    <w:rsid w:val="00B7074F"/>
    <w:rsid w:val="00B93DD0"/>
    <w:rsid w:val="00B97732"/>
    <w:rsid w:val="00BA65A8"/>
    <w:rsid w:val="00BA6BBE"/>
    <w:rsid w:val="00BA6D19"/>
    <w:rsid w:val="00BA7461"/>
    <w:rsid w:val="00BA7DA9"/>
    <w:rsid w:val="00BB2F55"/>
    <w:rsid w:val="00BC4215"/>
    <w:rsid w:val="00BD1A6F"/>
    <w:rsid w:val="00BD75D9"/>
    <w:rsid w:val="00BE6D3C"/>
    <w:rsid w:val="00BE7852"/>
    <w:rsid w:val="00BE789F"/>
    <w:rsid w:val="00BF7CEE"/>
    <w:rsid w:val="00C03880"/>
    <w:rsid w:val="00C135CF"/>
    <w:rsid w:val="00C2683F"/>
    <w:rsid w:val="00C30144"/>
    <w:rsid w:val="00C30B40"/>
    <w:rsid w:val="00C3184D"/>
    <w:rsid w:val="00C31AD1"/>
    <w:rsid w:val="00C4714E"/>
    <w:rsid w:val="00C51CCA"/>
    <w:rsid w:val="00C5504F"/>
    <w:rsid w:val="00C56567"/>
    <w:rsid w:val="00C57B55"/>
    <w:rsid w:val="00C63376"/>
    <w:rsid w:val="00C70D34"/>
    <w:rsid w:val="00C74F97"/>
    <w:rsid w:val="00C8276E"/>
    <w:rsid w:val="00C83D0B"/>
    <w:rsid w:val="00C842AC"/>
    <w:rsid w:val="00C878B1"/>
    <w:rsid w:val="00C96688"/>
    <w:rsid w:val="00CA0723"/>
    <w:rsid w:val="00CB1690"/>
    <w:rsid w:val="00CB3CB1"/>
    <w:rsid w:val="00CC4365"/>
    <w:rsid w:val="00CD11B0"/>
    <w:rsid w:val="00CE27F9"/>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57E99"/>
    <w:rsid w:val="00D831FE"/>
    <w:rsid w:val="00D92C2E"/>
    <w:rsid w:val="00DA1B12"/>
    <w:rsid w:val="00DA54C9"/>
    <w:rsid w:val="00DA6739"/>
    <w:rsid w:val="00DA6CAE"/>
    <w:rsid w:val="00DB1A9E"/>
    <w:rsid w:val="00DB31D6"/>
    <w:rsid w:val="00DB4005"/>
    <w:rsid w:val="00DC34EB"/>
    <w:rsid w:val="00DD6D87"/>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75C2F"/>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5436F"/>
    <w:rsid w:val="00F63398"/>
    <w:rsid w:val="00F639B6"/>
    <w:rsid w:val="00F65A1C"/>
    <w:rsid w:val="00F66F50"/>
    <w:rsid w:val="00F73382"/>
    <w:rsid w:val="00F82FF8"/>
    <w:rsid w:val="00F8330D"/>
    <w:rsid w:val="00F84305"/>
    <w:rsid w:val="00F8485C"/>
    <w:rsid w:val="00F87149"/>
    <w:rsid w:val="00F87FFE"/>
    <w:rsid w:val="00F954C9"/>
    <w:rsid w:val="00FA4CF0"/>
    <w:rsid w:val="00FA57B0"/>
    <w:rsid w:val="00FA61AA"/>
    <w:rsid w:val="00FA69A4"/>
    <w:rsid w:val="00FB1279"/>
    <w:rsid w:val="00FB1495"/>
    <w:rsid w:val="00FD1694"/>
    <w:rsid w:val="00FD7636"/>
    <w:rsid w:val="00FE3229"/>
    <w:rsid w:val="00FE74C3"/>
    <w:rsid w:val="00FF215C"/>
    <w:rsid w:val="00FF49E8"/>
    <w:rsid w:val="00FF672F"/>
    <w:rsid w:val="00FF7E7E"/>
    <w:rsid w:val="00FF7EB8"/>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2" w:unhideWhenUsed="1"/>
    <w:lsdException w:name="List 3" w:unhideWhenUsed="1"/>
    <w:lsdException w:name="List 4" w:unhideWhenUsed="1"/>
    <w:lsdException w:name="List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lsdException w:name="Bibliography" w:uiPriority="37" w:unhideWhenUsed="1"/>
    <w:lsdException w:name="TOC Heading" w:uiPriority="39" w:unhideWhenUsed="1" w:qFormat="1"/>
  </w:latentStyles>
  <w:style w:type="paragraph" w:default="1" w:styleId="Normal">
    <w:name w:val="Normal"/>
    <w:qFormat/>
    <w:rsid w:val="00253FD6"/>
    <w:pPr>
      <w:spacing w:after="200" w:line="276" w:lineRule="auto"/>
    </w:pPr>
    <w:rPr>
      <w:rFonts w:ascii="Calibri" w:eastAsia="Times New Roman" w:hAnsi="Calibri"/>
      <w:sz w:val="22"/>
      <w:szCs w:val="22"/>
      <w:lang w:val="en-AU"/>
    </w:rPr>
  </w:style>
  <w:style w:type="paragraph" w:styleId="Heading1">
    <w:name w:val="heading 1"/>
    <w:basedOn w:val="Normal"/>
    <w:next w:val="Normal"/>
    <w:link w:val="Heading1Char"/>
    <w:uiPriority w:val="99"/>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9"/>
    <w:qFormat/>
    <w:rsid w:val="000E31C1"/>
    <w:pPr>
      <w:keepNext/>
      <w:outlineLvl w:val="1"/>
    </w:pPr>
    <w:rPr>
      <w:rFonts w:ascii="Arial" w:eastAsia="Calibri" w:hAnsi="Arial" w:cs="Arial"/>
      <w:b/>
    </w:rPr>
  </w:style>
  <w:style w:type="paragraph" w:styleId="Heading3">
    <w:name w:val="heading 3"/>
    <w:basedOn w:val="Normal"/>
    <w:next w:val="Normal"/>
    <w:link w:val="Heading3Char"/>
    <w:uiPriority w:val="99"/>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51CCA"/>
    <w:rPr>
      <w:rFonts w:cs="Arial"/>
      <w:b/>
      <w:caps/>
      <w:sz w:val="22"/>
      <w:lang w:eastAsia="en-US"/>
    </w:rPr>
  </w:style>
  <w:style w:type="character" w:customStyle="1" w:styleId="Heading2Char">
    <w:name w:val="Heading 2 Char"/>
    <w:basedOn w:val="DefaultParagraphFont"/>
    <w:link w:val="Heading2"/>
    <w:uiPriority w:val="99"/>
    <w:rsid w:val="000E31C1"/>
    <w:rPr>
      <w:rFonts w:cs="Arial"/>
      <w:b/>
      <w:sz w:val="22"/>
      <w:lang w:eastAsia="en-US"/>
    </w:rPr>
  </w:style>
  <w:style w:type="character" w:customStyle="1" w:styleId="Heading3Char">
    <w:name w:val="Heading 3 Char"/>
    <w:basedOn w:val="DefaultParagraphFont"/>
    <w:link w:val="Heading3"/>
    <w:uiPriority w:val="99"/>
    <w:rsid w:val="000E31C1"/>
    <w:rPr>
      <w:rFonts w:cs="Arial"/>
      <w:b/>
      <w:i/>
      <w:sz w:val="22"/>
      <w:lang w:eastAsia="en-US"/>
    </w:rPr>
  </w:style>
  <w:style w:type="character" w:customStyle="1" w:styleId="Heading4Char">
    <w:name w:val="Heading 4 Char"/>
    <w:basedOn w:val="DefaultParagraphFont"/>
    <w:link w:val="Heading4"/>
    <w:uiPriority w:val="99"/>
    <w:rsid w:val="000E31C1"/>
    <w:rPr>
      <w:rFonts w:cs="Arial"/>
      <w:i/>
      <w:sz w:val="22"/>
      <w:lang w:eastAsia="en-US"/>
    </w:rPr>
  </w:style>
  <w:style w:type="paragraph" w:styleId="Header">
    <w:name w:val="header"/>
    <w:basedOn w:val="Normal"/>
    <w:link w:val="HeaderChar"/>
    <w:uiPriority w:val="99"/>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rPr>
      <w:rFonts w:cs="Times New Roman"/>
    </w:rPr>
  </w:style>
  <w:style w:type="paragraph" w:styleId="Footer">
    <w:name w:val="footer"/>
    <w:basedOn w:val="Normal"/>
    <w:link w:val="FooterChar"/>
    <w:uiPriority w:val="99"/>
    <w:semiHidden/>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rPr>
      <w:rFonts w:cs="Times New Roman"/>
    </w:rPr>
  </w:style>
  <w:style w:type="paragraph" w:styleId="BalloonText">
    <w:name w:val="Balloon Text"/>
    <w:basedOn w:val="Normal"/>
    <w:link w:val="BalloonTextChar"/>
    <w:uiPriority w:val="99"/>
    <w:semiHidden/>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rPr>
  </w:style>
  <w:style w:type="paragraph" w:customStyle="1" w:styleId="1NumberedPointsStyle">
    <w:name w:val="1. Numbered Points Style"/>
    <w:basedOn w:val="ListParagraph"/>
    <w:uiPriority w:val="99"/>
    <w:rsid w:val="00BD1A6F"/>
    <w:pPr>
      <w:numPr>
        <w:numId w:val="0"/>
      </w:numPr>
    </w:pPr>
  </w:style>
  <w:style w:type="paragraph" w:customStyle="1" w:styleId="1BulletStyleList">
    <w:name w:val="1. Bullet Style List"/>
    <w:basedOn w:val="Normal"/>
    <w:uiPriority w:val="99"/>
    <w:rsid w:val="00CE71C2"/>
    <w:pPr>
      <w:spacing w:line="240" w:lineRule="auto"/>
    </w:pPr>
    <w:rPr>
      <w:szCs w:val="20"/>
      <w:lang w:eastAsia="en-AU"/>
    </w:rPr>
  </w:style>
  <w:style w:type="paragraph" w:styleId="ListBullet">
    <w:name w:val="List Bullet"/>
    <w:basedOn w:val="Normal"/>
    <w:uiPriority w:val="99"/>
    <w:rsid w:val="00091608"/>
    <w:rPr>
      <w:rFonts w:ascii="Arial" w:eastAsia="Calibri" w:hAnsi="Arial"/>
    </w:rPr>
  </w:style>
  <w:style w:type="paragraph" w:styleId="ListBullet2">
    <w:name w:val="List Bullet 2"/>
    <w:basedOn w:val="Normal"/>
    <w:uiPriority w:val="99"/>
    <w:rsid w:val="00091608"/>
    <w:pPr>
      <w:numPr>
        <w:ilvl w:val="1"/>
        <w:numId w:val="6"/>
      </w:numPr>
      <w:tabs>
        <w:tab w:val="clear" w:pos="360"/>
      </w:tabs>
      <w:ind w:left="0" w:firstLine="0"/>
    </w:pPr>
    <w:rPr>
      <w:rFonts w:ascii="Arial" w:eastAsia="Calibri" w:hAnsi="Arial"/>
    </w:rPr>
  </w:style>
  <w:style w:type="paragraph" w:styleId="ListBullet3">
    <w:name w:val="List Bullet 3"/>
    <w:basedOn w:val="Normal"/>
    <w:uiPriority w:val="99"/>
    <w:rsid w:val="00091608"/>
    <w:pPr>
      <w:numPr>
        <w:ilvl w:val="2"/>
        <w:numId w:val="6"/>
      </w:numPr>
      <w:tabs>
        <w:tab w:val="clear" w:pos="360"/>
      </w:tabs>
      <w:ind w:left="0" w:firstLine="0"/>
    </w:pPr>
    <w:rPr>
      <w:rFonts w:ascii="Arial" w:eastAsia="Calibri" w:hAnsi="Arial"/>
    </w:rPr>
  </w:style>
  <w:style w:type="paragraph" w:styleId="ListBullet4">
    <w:name w:val="List Bullet 4"/>
    <w:basedOn w:val="Normal"/>
    <w:uiPriority w:val="99"/>
    <w:rsid w:val="00091608"/>
    <w:pPr>
      <w:numPr>
        <w:ilvl w:val="3"/>
        <w:numId w:val="6"/>
      </w:numPr>
      <w:tabs>
        <w:tab w:val="clear" w:pos="360"/>
      </w:tabs>
      <w:ind w:left="0" w:firstLine="0"/>
    </w:pPr>
    <w:rPr>
      <w:rFonts w:ascii="Arial" w:eastAsia="Calibri" w:hAnsi="Arial"/>
    </w:rPr>
  </w:style>
  <w:style w:type="paragraph" w:styleId="ListBullet5">
    <w:name w:val="List Bullet 5"/>
    <w:basedOn w:val="Normal"/>
    <w:uiPriority w:val="99"/>
    <w:rsid w:val="00091608"/>
    <w:pPr>
      <w:numPr>
        <w:ilvl w:val="4"/>
        <w:numId w:val="6"/>
      </w:numPr>
      <w:tabs>
        <w:tab w:val="clear" w:pos="360"/>
      </w:tabs>
      <w:ind w:left="0" w:firstLine="0"/>
    </w:pPr>
    <w:rPr>
      <w:rFonts w:ascii="Arial" w:eastAsia="Calibri" w:hAnsi="Arial"/>
    </w:rPr>
  </w:style>
  <w:style w:type="paragraph" w:customStyle="1" w:styleId="Classification">
    <w:name w:val="Classification"/>
    <w:basedOn w:val="Normal"/>
    <w:uiPriority w:val="99"/>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99"/>
    <w:qFormat/>
    <w:rsid w:val="003556BD"/>
    <w:pPr>
      <w:numPr>
        <w:numId w:val="24"/>
      </w:numPr>
    </w:pPr>
    <w:rPr>
      <w:rFonts w:ascii="Arial" w:eastAsia="Calibri" w:hAnsi="Arial"/>
    </w:rPr>
  </w:style>
  <w:style w:type="character" w:styleId="BookTitle">
    <w:name w:val="Book Title"/>
    <w:basedOn w:val="DefaultParagraphFont"/>
    <w:uiPriority w:val="99"/>
    <w:rsid w:val="00383020"/>
    <w:rPr>
      <w:rFonts w:cs="Times New Roman"/>
      <w:bCs/>
      <w:i/>
      <w:smallCaps/>
      <w:spacing w:val="5"/>
    </w:rPr>
  </w:style>
  <w:style w:type="paragraph" w:styleId="ListNumber">
    <w:name w:val="List Number"/>
    <w:basedOn w:val="Normal"/>
    <w:uiPriority w:val="99"/>
    <w:rsid w:val="00005CAA"/>
    <w:rPr>
      <w:rFonts w:ascii="Arial" w:eastAsia="Calibri" w:hAnsi="Arial"/>
    </w:rPr>
  </w:style>
  <w:style w:type="paragraph" w:styleId="ListNumber2">
    <w:name w:val="List Number 2"/>
    <w:basedOn w:val="Normal"/>
    <w:uiPriority w:val="99"/>
    <w:rsid w:val="00005CAA"/>
    <w:pPr>
      <w:numPr>
        <w:ilvl w:val="1"/>
        <w:numId w:val="5"/>
      </w:numPr>
      <w:tabs>
        <w:tab w:val="clear" w:pos="1492"/>
      </w:tabs>
      <w:ind w:left="0" w:firstLine="0"/>
    </w:pPr>
    <w:rPr>
      <w:rFonts w:ascii="Arial" w:eastAsia="Calibri" w:hAnsi="Arial"/>
    </w:rPr>
  </w:style>
  <w:style w:type="paragraph" w:styleId="ListNumber3">
    <w:name w:val="List Number 3"/>
    <w:basedOn w:val="Normal"/>
    <w:uiPriority w:val="99"/>
    <w:rsid w:val="00005CAA"/>
    <w:pPr>
      <w:numPr>
        <w:ilvl w:val="2"/>
        <w:numId w:val="5"/>
      </w:numPr>
      <w:tabs>
        <w:tab w:val="clear" w:pos="1492"/>
      </w:tabs>
      <w:ind w:left="0" w:firstLine="0"/>
    </w:pPr>
    <w:rPr>
      <w:rFonts w:ascii="Arial" w:eastAsia="Calibri" w:hAnsi="Arial"/>
    </w:rPr>
  </w:style>
  <w:style w:type="paragraph" w:styleId="ListNumber4">
    <w:name w:val="List Number 4"/>
    <w:basedOn w:val="Normal"/>
    <w:uiPriority w:val="99"/>
    <w:rsid w:val="00005CAA"/>
    <w:pPr>
      <w:numPr>
        <w:ilvl w:val="3"/>
        <w:numId w:val="5"/>
      </w:numPr>
      <w:tabs>
        <w:tab w:val="clear" w:pos="1492"/>
      </w:tabs>
      <w:ind w:left="0" w:firstLine="0"/>
    </w:pPr>
    <w:rPr>
      <w:rFonts w:ascii="Arial" w:eastAsia="Calibri" w:hAnsi="Arial"/>
    </w:rPr>
  </w:style>
  <w:style w:type="paragraph" w:styleId="ListNumber5">
    <w:name w:val="List Number 5"/>
    <w:basedOn w:val="Normal"/>
    <w:uiPriority w:val="99"/>
    <w:rsid w:val="00005CAA"/>
    <w:pPr>
      <w:numPr>
        <w:ilvl w:val="4"/>
        <w:numId w:val="5"/>
      </w:numPr>
      <w:tabs>
        <w:tab w:val="clear" w:pos="1492"/>
      </w:tabs>
      <w:ind w:left="0" w:firstLine="0"/>
    </w:pPr>
    <w:rPr>
      <w:rFonts w:ascii="Arial" w:eastAsia="Calibri" w:hAnsi="Arial"/>
    </w:rPr>
  </w:style>
  <w:style w:type="paragraph" w:customStyle="1" w:styleId="Footerclassification">
    <w:name w:val="Footer classification"/>
    <w:basedOn w:val="Classification"/>
    <w:uiPriority w:val="99"/>
    <w:rsid w:val="00D021CB"/>
    <w:pPr>
      <w:spacing w:before="240" w:after="0"/>
    </w:pPr>
  </w:style>
  <w:style w:type="table" w:styleId="TableGrid">
    <w:name w:val="Table Grid"/>
    <w:basedOn w:val="TableNormal"/>
    <w:uiPriority w:val="9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pPr>
      <w:rPr>
        <w:rFonts w:ascii="Arial" w:hAnsi="Arial" w:cs="Times New Roman"/>
        <w:sz w:val="20"/>
        <w:shd w:val="clear" w:color="auto" w:fill="auto"/>
      </w:rPr>
    </w:tblStylePr>
    <w:tblStylePr w:type="lastRow">
      <w:pPr>
        <w:spacing w:beforeLines="0" w:beforeAutospacing="0" w:afterLines="0" w:afterAutospacing="0"/>
      </w:pPr>
      <w:rPr>
        <w:rFonts w:ascii="Arial" w:hAnsi="Arial" w:cs="Times New Roman"/>
        <w:sz w:val="20"/>
        <w:shd w:val="clear" w:color="auto" w:fill="auto"/>
      </w:rPr>
    </w:tblStylePr>
    <w:tblStylePr w:type="band1Horz">
      <w:pPr>
        <w:spacing w:beforeLines="0" w:beforeAutospacing="0" w:afterLines="0" w:afterAutospacing="0"/>
      </w:pPr>
      <w:rPr>
        <w:rFonts w:ascii="Arial" w:hAnsi="Arial" w:cs="Times New Roman"/>
        <w:sz w:val="20"/>
        <w:shd w:val="clear" w:color="auto" w:fill="auto"/>
      </w:rPr>
    </w:tblStylePr>
    <w:tblStylePr w:type="band2Horz">
      <w:pPr>
        <w:spacing w:beforeLines="0" w:beforeAutospacing="0" w:afterLines="0" w:afterAutospacing="0"/>
      </w:pPr>
      <w:rPr>
        <w:rFonts w:ascii="Arial" w:hAnsi="Arial" w:cs="Times New Roman"/>
        <w:sz w:val="20"/>
        <w:shd w:val="clear" w:color="auto" w:fill="auto"/>
      </w:rPr>
    </w:tblStylePr>
  </w:style>
  <w:style w:type="paragraph" w:customStyle="1" w:styleId="Tabletext">
    <w:name w:val="Table text"/>
    <w:basedOn w:val="Normal"/>
    <w:uiPriority w:val="99"/>
    <w:rsid w:val="005A126E"/>
    <w:pPr>
      <w:spacing w:after="0"/>
    </w:pPr>
    <w:rPr>
      <w:rFonts w:ascii="Arial" w:eastAsia="Calibri" w:hAnsi="Arial"/>
    </w:rPr>
  </w:style>
  <w:style w:type="paragraph" w:customStyle="1" w:styleId="Classificationsensitivity">
    <w:name w:val="Classification sensitivity"/>
    <w:basedOn w:val="Classification"/>
    <w:uiPriority w:val="99"/>
    <w:rsid w:val="002C5813"/>
    <w:rPr>
      <w:sz w:val="22"/>
    </w:rPr>
  </w:style>
  <w:style w:type="paragraph" w:customStyle="1" w:styleId="TableTopRow">
    <w:name w:val="Table Top Row"/>
    <w:basedOn w:val="Normal"/>
    <w:uiPriority w:val="99"/>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uiPriority w:val="99"/>
    <w:rsid w:val="00253FD6"/>
    <w:rPr>
      <w:rFonts w:eastAsia="Times New Roman" w:cs="Arial"/>
      <w:b/>
      <w:lang w:eastAsia="en-US"/>
    </w:rPr>
  </w:style>
  <w:style w:type="paragraph" w:customStyle="1" w:styleId="Tablebody">
    <w:name w:val="Table body"/>
    <w:basedOn w:val="Normal"/>
    <w:uiPriority w:val="99"/>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uiPriority w:val="99"/>
    <w:rsid w:val="00253FD6"/>
    <w:rPr>
      <w:rFonts w:eastAsia="Times New Roman" w:cs="Arial"/>
      <w:lang w:eastAsia="en-US"/>
    </w:rPr>
  </w:style>
  <w:style w:type="paragraph" w:customStyle="1" w:styleId="Bookendtext-notnumbered">
    <w:name w:val="Bookend text - not numbered"/>
    <w:basedOn w:val="Normal"/>
    <w:uiPriority w:val="99"/>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uiPriority w:val="99"/>
    <w:rsid w:val="00253FD6"/>
    <w:rPr>
      <w:rFonts w:eastAsia="Times New Roman" w:cs="Arial"/>
      <w:sz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rsid w:val="00A934FD"/>
    <w:rPr>
      <w:rFonts w:cs="Times New Roman"/>
      <w:sz w:val="16"/>
    </w:rPr>
  </w:style>
  <w:style w:type="paragraph" w:styleId="CommentText">
    <w:name w:val="annotation text"/>
    <w:basedOn w:val="Normal"/>
    <w:link w:val="CommentTextChar"/>
    <w:uiPriority w:val="99"/>
    <w:semiHidden/>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hAnsi="Calibri" w:cs="Times New Roman"/>
      <w:lang w:eastAsia="en-US"/>
    </w:rPr>
  </w:style>
  <w:style w:type="paragraph" w:styleId="CommentSubject">
    <w:name w:val="annotation subject"/>
    <w:basedOn w:val="CommentText"/>
    <w:next w:val="CommentText"/>
    <w:link w:val="CommentSubjectChar"/>
    <w:uiPriority w:val="99"/>
    <w:semiHidden/>
    <w:rsid w:val="00A934FD"/>
    <w:rPr>
      <w:b/>
      <w:bCs/>
    </w:rPr>
  </w:style>
  <w:style w:type="character" w:customStyle="1" w:styleId="CommentSubjectChar">
    <w:name w:val="Comment Subject Char"/>
    <w:basedOn w:val="CommentTextChar"/>
    <w:link w:val="CommentSubject"/>
    <w:uiPriority w:val="99"/>
    <w:semiHidden/>
    <w:rsid w:val="00A934FD"/>
    <w:rPr>
      <w:b/>
      <w:bCs/>
    </w:rPr>
  </w:style>
  <w:style w:type="paragraph" w:styleId="Revision">
    <w:name w:val="Revision"/>
    <w:hidden/>
    <w:uiPriority w:val="99"/>
    <w:semiHidden/>
    <w:rsid w:val="00A934FD"/>
    <w:rPr>
      <w:rFonts w:ascii="Calibri" w:eastAsia="Times New Roman" w:hAnsi="Calibri"/>
      <w:sz w:val="22"/>
      <w:szCs w:val="22"/>
      <w:lang w:val="en-AU"/>
    </w:rPr>
  </w:style>
  <w:style w:type="paragraph" w:styleId="BodyText">
    <w:name w:val="Body Text"/>
    <w:basedOn w:val="Normal"/>
    <w:link w:val="BodyTextChar"/>
    <w:uiPriority w:val="99"/>
    <w:semiHidden/>
    <w:rsid w:val="007F5D8A"/>
    <w:pPr>
      <w:spacing w:after="120"/>
    </w:pPr>
  </w:style>
  <w:style w:type="character" w:customStyle="1" w:styleId="BodyTextChar">
    <w:name w:val="Body Text Char"/>
    <w:basedOn w:val="DefaultParagraphFont"/>
    <w:link w:val="BodyText"/>
    <w:uiPriority w:val="99"/>
    <w:semiHidden/>
    <w:rsid w:val="007F5D8A"/>
    <w:rPr>
      <w:rFonts w:ascii="Calibri" w:hAnsi="Calibri" w:cs="Times New Roman"/>
      <w:sz w:val="22"/>
      <w:lang w:eastAsia="en-US"/>
    </w:rPr>
  </w:style>
  <w:style w:type="character" w:styleId="Hyperlink">
    <w:name w:val="Hyperlink"/>
    <w:basedOn w:val="DefaultParagraphFont"/>
    <w:uiPriority w:val="99"/>
    <w:rsid w:val="007F5D8A"/>
    <w:rPr>
      <w:rFonts w:cs="Times New Roman"/>
      <w:color w:val="0000FF"/>
      <w:u w:val="single"/>
    </w:rPr>
  </w:style>
  <w:style w:type="paragraph" w:customStyle="1" w:styleId="Style2">
    <w:name w:val="Style2"/>
    <w:basedOn w:val="Heading1"/>
    <w:uiPriority w:val="99"/>
    <w:rsid w:val="007952AC"/>
    <w:pPr>
      <w:spacing w:before="60" w:after="60" w:line="240" w:lineRule="auto"/>
    </w:pPr>
    <w:rPr>
      <w:rFonts w:eastAsia="Times New Roman" w:cs="Times New Roman"/>
      <w:caps w:val="0"/>
      <w:color w:val="A1664C"/>
      <w:kern w:val="20"/>
      <w:sz w:val="28"/>
      <w:szCs w:val="28"/>
      <w:lang w:val="en-US"/>
    </w:rPr>
  </w:style>
  <w:style w:type="character" w:customStyle="1" w:styleId="Style2Char">
    <w:name w:val="Style2 Char"/>
    <w:uiPriority w:val="99"/>
    <w:rsid w:val="007952AC"/>
    <w:rPr>
      <w:rFonts w:eastAsia="Times New Roman"/>
      <w:b/>
      <w:color w:val="A1664C"/>
      <w:kern w:val="20"/>
      <w:sz w:val="28"/>
      <w:lang w:eastAsia="en-US"/>
    </w:rPr>
  </w:style>
  <w:style w:type="character" w:customStyle="1" w:styleId="A0">
    <w:name w:val="A0"/>
    <w:uiPriority w:val="99"/>
    <w:rsid w:val="009B40BB"/>
    <w:rPr>
      <w:i/>
      <w:color w:val="000000"/>
      <w:sz w:val="20"/>
    </w:rPr>
  </w:style>
</w:styles>
</file>

<file path=word/webSettings.xml><?xml version="1.0" encoding="utf-8"?>
<w:webSettings xmlns:r="http://schemas.openxmlformats.org/officeDocument/2006/relationships" xmlns:w="http://schemas.openxmlformats.org/wordprocessingml/2006/main">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il.abbotsfordconvent.com.au/owa/redir.aspx?C=866b82bb8d424efaa93a7122bd3d5a12&amp;URL=http%3a%2f%2fwww.heraldsun.com.au%2fleader%2fnorth%2fsunbury-asylum-alliance-campaigns-for-new-abbotsford-convent-style-hub-at-jacksons-hill%2fstory-fnglenug-12269402996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1612</Words>
  <Characters>9193</Characters>
  <Application>Microsoft Office Word</Application>
  <DocSecurity>0</DocSecurity>
  <Lines>76</Lines>
  <Paragraphs>21</Paragraphs>
  <ScaleCrop>false</ScaleCrop>
  <Company/>
  <LinksUpToDate>false</LinksUpToDate>
  <CharactersWithSpaces>10784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064-abbotsford-convent-foundation </dc:title>
  <dc:creator/>
  <cp:lastModifiedBy/>
  <cp:revision>1</cp:revision>
  <dcterms:created xsi:type="dcterms:W3CDTF">2014-10-28T03:57:00Z</dcterms:created>
  <dcterms:modified xsi:type="dcterms:W3CDTF">2014-10-28T03:59:00Z</dcterms:modified>
</cp:coreProperties>
</file>