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401C87" w:rsidP="000341CC">
            <w:pPr>
              <w:rPr>
                <w:rFonts w:ascii="Arial" w:hAnsi="Arial" w:cs="Arial"/>
              </w:rPr>
            </w:pPr>
            <w:r>
              <w:rPr>
                <w:rFonts w:ascii="Arial" w:hAnsi="Arial" w:cs="Arial"/>
              </w:rPr>
              <w:t>Blue Mountains Association of Cultural Heritage Organisations Inc</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401C87" w:rsidRDefault="00401C87" w:rsidP="000341CC">
            <w:pPr>
              <w:rPr>
                <w:rFonts w:ascii="Arial" w:hAnsi="Arial" w:cs="Arial"/>
                <w:lang w:val="en-GB"/>
              </w:rPr>
            </w:pPr>
            <w:r>
              <w:rPr>
                <w:rFonts w:ascii="Arial" w:hAnsi="Arial" w:cs="Arial"/>
                <w:lang w:val="en-GB"/>
              </w:rPr>
              <w:t>Jan Koperberg</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401C87" w:rsidRDefault="00401C87" w:rsidP="000341CC">
            <w:pPr>
              <w:rPr>
                <w:rFonts w:ascii="Arial" w:hAnsi="Arial" w:cs="Arial"/>
                <w:lang w:val="en-GB"/>
              </w:rPr>
            </w:pPr>
            <w:r>
              <w:rPr>
                <w:rFonts w:ascii="Arial" w:hAnsi="Arial" w:cs="Arial"/>
                <w:lang w:val="en-GB"/>
              </w:rPr>
              <w:t>9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DE0729">
        <w:tc>
          <w:tcPr>
            <w:tcW w:w="9926" w:type="dxa"/>
            <w:gridSpan w:val="2"/>
            <w:shd w:val="clear" w:color="auto" w:fill="C6D9F1"/>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3D3C13" w:rsidRPr="00DE0729" w:rsidRDefault="003D3C13" w:rsidP="003D3C13">
            <w:pPr>
              <w:spacing w:before="60" w:after="60" w:line="240" w:lineRule="auto"/>
              <w:outlineLvl w:val="1"/>
              <w:rPr>
                <w:sz w:val="24"/>
                <w:szCs w:val="24"/>
                <w:lang w:eastAsia="en-AU"/>
              </w:rPr>
            </w:pPr>
          </w:p>
          <w:p w:rsidR="00401C87" w:rsidRDefault="00401C87" w:rsidP="00401C87">
            <w:pPr>
              <w:pStyle w:val="Default"/>
            </w:pPr>
          </w:p>
          <w:p w:rsidR="003D3C13" w:rsidRPr="0090213B" w:rsidRDefault="00401C87" w:rsidP="00401C87">
            <w:pPr>
              <w:spacing w:before="60" w:after="60" w:line="240" w:lineRule="auto"/>
              <w:outlineLvl w:val="1"/>
              <w:rPr>
                <w:b/>
                <w:sz w:val="28"/>
                <w:szCs w:val="28"/>
              </w:rPr>
            </w:pPr>
            <w:r w:rsidRPr="0090213B">
              <w:rPr>
                <w:b/>
                <w:sz w:val="28"/>
                <w:szCs w:val="28"/>
              </w:rPr>
              <w:t>b. Capture a representative National Heritage List</w:t>
            </w:r>
          </w:p>
          <w:p w:rsidR="00401C87" w:rsidRDefault="00401C87" w:rsidP="00401C87">
            <w:pPr>
              <w:spacing w:before="60" w:after="60" w:line="240" w:lineRule="auto"/>
              <w:outlineLvl w:val="1"/>
              <w:rPr>
                <w:sz w:val="28"/>
                <w:szCs w:val="28"/>
              </w:rPr>
            </w:pPr>
          </w:p>
          <w:p w:rsidR="00401C87" w:rsidRPr="00DE0729" w:rsidRDefault="00401C87" w:rsidP="00401C87">
            <w:pPr>
              <w:spacing w:before="60" w:after="60" w:line="240" w:lineRule="auto"/>
              <w:outlineLvl w:val="1"/>
              <w:rPr>
                <w:sz w:val="24"/>
                <w:szCs w:val="24"/>
                <w:lang w:eastAsia="en-AU"/>
              </w:rPr>
            </w:pPr>
            <w:r>
              <w:rPr>
                <w:sz w:val="28"/>
                <w:szCs w:val="28"/>
              </w:rPr>
              <w:t>I feel this is the best option for improving National Leadership</w:t>
            </w: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8F10D7" w:rsidRPr="00DE0729" w:rsidRDefault="008F10D7" w:rsidP="003D3C13">
            <w:pPr>
              <w:spacing w:before="60" w:after="60" w:line="240" w:lineRule="auto"/>
              <w:outlineLvl w:val="1"/>
              <w:rPr>
                <w:sz w:val="24"/>
                <w:szCs w:val="24"/>
                <w:lang w:eastAsia="en-AU"/>
              </w:rPr>
            </w:pPr>
          </w:p>
          <w:p w:rsidR="008F10D7" w:rsidRPr="00DE0729" w:rsidRDefault="008F10D7" w:rsidP="003D3C13">
            <w:pPr>
              <w:spacing w:before="60" w:after="60" w:line="240" w:lineRule="auto"/>
              <w:outlineLvl w:val="1"/>
              <w:rPr>
                <w:sz w:val="24"/>
                <w:szCs w:val="24"/>
                <w:lang w:eastAsia="en-AU"/>
              </w:rPr>
            </w:pPr>
          </w:p>
        </w:tc>
      </w:tr>
      <w:tr w:rsidR="003D3C13" w:rsidTr="00DE0729">
        <w:trPr>
          <w:trHeight w:val="809"/>
        </w:trPr>
        <w:tc>
          <w:tcPr>
            <w:tcW w:w="9926" w:type="dxa"/>
            <w:gridSpan w:val="2"/>
            <w:shd w:val="clear" w:color="auto" w:fill="C6D9F1"/>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Pr="00DE0729" w:rsidRDefault="003D3C13" w:rsidP="00C56567">
            <w:pPr>
              <w:spacing w:before="60" w:after="60" w:line="240" w:lineRule="auto"/>
              <w:outlineLvl w:val="1"/>
              <w:rPr>
                <w:sz w:val="24"/>
                <w:szCs w:val="24"/>
                <w:lang w:eastAsia="en-AU"/>
              </w:rPr>
            </w:pPr>
          </w:p>
        </w:tc>
      </w:tr>
      <w:tr w:rsidR="003D3C13" w:rsidTr="00B146BD">
        <w:trPr>
          <w:trHeight w:val="1119"/>
        </w:trPr>
        <w:tc>
          <w:tcPr>
            <w:tcW w:w="9926" w:type="dxa"/>
            <w:gridSpan w:val="2"/>
            <w:tcBorders>
              <w:bottom w:val="single" w:sz="4" w:space="0" w:color="auto"/>
            </w:tcBorders>
          </w:tcPr>
          <w:p w:rsidR="003D3C13" w:rsidRPr="00DE0729" w:rsidRDefault="003D3C13" w:rsidP="003D3C13">
            <w:pPr>
              <w:spacing w:before="60" w:after="60" w:line="240" w:lineRule="auto"/>
              <w:outlineLvl w:val="1"/>
              <w:rPr>
                <w:sz w:val="24"/>
                <w:szCs w:val="24"/>
                <w:lang w:eastAsia="en-AU"/>
              </w:rPr>
            </w:pPr>
          </w:p>
          <w:p w:rsidR="0090213B" w:rsidRDefault="0090213B" w:rsidP="0090213B">
            <w:pPr>
              <w:pStyle w:val="Default"/>
            </w:pPr>
          </w:p>
          <w:p w:rsidR="00401C87" w:rsidRDefault="0090213B" w:rsidP="0090213B">
            <w:pPr>
              <w:pStyle w:val="Default"/>
              <w:rPr>
                <w:sz w:val="28"/>
                <w:szCs w:val="28"/>
              </w:rPr>
            </w:pPr>
            <w:r>
              <w:rPr>
                <w:sz w:val="28"/>
                <w:szCs w:val="28"/>
              </w:rPr>
              <w:t>c. Innovative funding, resource sharing and creative partnerships</w:t>
            </w:r>
          </w:p>
          <w:p w:rsidR="0090213B" w:rsidRDefault="0090213B" w:rsidP="0090213B">
            <w:pPr>
              <w:pStyle w:val="Default"/>
              <w:rPr>
                <w:sz w:val="28"/>
                <w:szCs w:val="28"/>
              </w:rPr>
            </w:pPr>
            <w:r>
              <w:rPr>
                <w:sz w:val="28"/>
                <w:szCs w:val="28"/>
              </w:rPr>
              <w:t>and</w:t>
            </w:r>
          </w:p>
          <w:p w:rsidR="0090213B" w:rsidRDefault="0090213B" w:rsidP="0090213B">
            <w:pPr>
              <w:pStyle w:val="Default"/>
              <w:rPr>
                <w:sz w:val="28"/>
                <w:szCs w:val="28"/>
              </w:rPr>
            </w:pPr>
          </w:p>
          <w:p w:rsidR="0090213B" w:rsidRPr="0090213B" w:rsidRDefault="0090213B" w:rsidP="0090213B">
            <w:pPr>
              <w:pStyle w:val="Default"/>
              <w:rPr>
                <w:rFonts w:ascii="Calibri" w:hAnsi="Calibri"/>
                <w:sz w:val="28"/>
                <w:szCs w:val="28"/>
              </w:rPr>
            </w:pPr>
            <w:r>
              <w:rPr>
                <w:rFonts w:ascii="Calibri" w:hAnsi="Calibri"/>
                <w:sz w:val="28"/>
                <w:szCs w:val="28"/>
              </w:rPr>
              <w:t>I think the Federation of Australian Historical Societies should receive support over the next three years to strengthen engagement with and support for local community heritage groups.</w:t>
            </w:r>
          </w:p>
          <w:p w:rsidR="0090213B" w:rsidRDefault="0090213B" w:rsidP="0090213B">
            <w:pPr>
              <w:pStyle w:val="Default"/>
            </w:pPr>
          </w:p>
          <w:p w:rsidR="0090213B" w:rsidRDefault="0090213B" w:rsidP="0090213B">
            <w:pPr>
              <w:pStyle w:val="Default"/>
              <w:rPr>
                <w:sz w:val="28"/>
                <w:szCs w:val="28"/>
              </w:rPr>
            </w:pPr>
            <w:r>
              <w:rPr>
                <w:sz w:val="28"/>
                <w:szCs w:val="28"/>
              </w:rPr>
              <w:t>d. Foster greater collaboration between heritage and tourism sectors</w:t>
            </w:r>
          </w:p>
          <w:p w:rsidR="0090213B" w:rsidRDefault="0090213B" w:rsidP="0090213B">
            <w:pPr>
              <w:pStyle w:val="Default"/>
              <w:rPr>
                <w:sz w:val="28"/>
                <w:szCs w:val="28"/>
              </w:rPr>
            </w:pPr>
          </w:p>
          <w:p w:rsidR="0090213B" w:rsidRPr="0090213B" w:rsidRDefault="004A62CE" w:rsidP="0090213B">
            <w:pPr>
              <w:autoSpaceDE w:val="0"/>
              <w:autoSpaceDN w:val="0"/>
              <w:adjustRightInd w:val="0"/>
              <w:spacing w:after="0" w:line="240" w:lineRule="auto"/>
              <w:rPr>
                <w:rFonts w:eastAsia="Calibri" w:cs="Adobe Garamond Pro"/>
                <w:color w:val="000000"/>
                <w:sz w:val="28"/>
                <w:szCs w:val="28"/>
                <w:lang w:eastAsia="en-AU"/>
              </w:rPr>
            </w:pPr>
            <w:r>
              <w:rPr>
                <w:rFonts w:eastAsia="Calibri" w:cs="Adobe Garamond Pro"/>
                <w:color w:val="000000"/>
                <w:sz w:val="28"/>
                <w:szCs w:val="28"/>
                <w:lang w:eastAsia="en-AU"/>
              </w:rPr>
              <w:t>I also agree with encouraging local and regional communities, through the new Community Heritage and Icons Programme, to promote and tell the stories of their local heritage and to explore linkages with local tourism bodies to further promote these heritage experiences.</w:t>
            </w:r>
          </w:p>
          <w:p w:rsidR="0090213B" w:rsidRPr="0090213B" w:rsidRDefault="0090213B" w:rsidP="0090213B">
            <w:pPr>
              <w:autoSpaceDE w:val="0"/>
              <w:autoSpaceDN w:val="0"/>
              <w:adjustRightInd w:val="0"/>
              <w:spacing w:after="0" w:line="240" w:lineRule="auto"/>
              <w:rPr>
                <w:rFonts w:ascii="Adobe Garamond Pro" w:eastAsia="Calibri" w:hAnsi="Adobe Garamond Pro"/>
                <w:sz w:val="24"/>
                <w:szCs w:val="24"/>
                <w:lang w:eastAsia="en-AU"/>
              </w:rPr>
            </w:pPr>
          </w:p>
          <w:p w:rsidR="0090213B" w:rsidRPr="004A62CE" w:rsidRDefault="004A62CE" w:rsidP="0090213B">
            <w:pPr>
              <w:pStyle w:val="Default"/>
              <w:rPr>
                <w:sz w:val="28"/>
                <w:szCs w:val="28"/>
              </w:rPr>
            </w:pPr>
            <w:r w:rsidRPr="004A62CE">
              <w:rPr>
                <w:sz w:val="28"/>
                <w:szCs w:val="28"/>
              </w:rPr>
              <w:t>Collaboration</w:t>
            </w:r>
            <w:r>
              <w:rPr>
                <w:sz w:val="28"/>
                <w:szCs w:val="28"/>
              </w:rPr>
              <w:t xml:space="preserve"> between the Indigenous Nations, historical societies, heritage organisations, Local Councils, commercial businesses, State Government, Federal Government and the Blue Mountains, Lithgow, Oberon Tourism (BMLOT) was achieved with the commemoration of the Crossings of the Blue Mountains.</w:t>
            </w:r>
          </w:p>
          <w:p w:rsidR="0090213B" w:rsidRPr="0090213B" w:rsidRDefault="0090213B" w:rsidP="0090213B">
            <w:pPr>
              <w:autoSpaceDE w:val="0"/>
              <w:autoSpaceDN w:val="0"/>
              <w:adjustRightInd w:val="0"/>
              <w:spacing w:after="0" w:line="240" w:lineRule="auto"/>
              <w:rPr>
                <w:rFonts w:ascii="Adobe Garamond Pro" w:eastAsia="Calibri" w:hAnsi="Adobe Garamond Pro"/>
                <w:sz w:val="24"/>
                <w:szCs w:val="24"/>
                <w:lang w:eastAsia="en-AU"/>
              </w:rPr>
            </w:pPr>
          </w:p>
          <w:p w:rsidR="0090213B" w:rsidRDefault="0090213B" w:rsidP="0090213B">
            <w:pPr>
              <w:pStyle w:val="Default"/>
            </w:pPr>
          </w:p>
          <w:p w:rsidR="0090213B" w:rsidRDefault="0090213B" w:rsidP="00401C87">
            <w:pPr>
              <w:spacing w:before="60" w:after="60" w:line="240" w:lineRule="auto"/>
              <w:outlineLvl w:val="1"/>
              <w:rPr>
                <w:sz w:val="28"/>
                <w:szCs w:val="28"/>
              </w:rPr>
            </w:pPr>
          </w:p>
          <w:p w:rsidR="008F10D7" w:rsidRPr="00DE0729" w:rsidRDefault="008F10D7" w:rsidP="003D3C13">
            <w:pPr>
              <w:spacing w:before="60" w:after="60" w:line="240" w:lineRule="auto"/>
              <w:outlineLvl w:val="1"/>
              <w:rPr>
                <w:sz w:val="24"/>
                <w:szCs w:val="24"/>
                <w:lang w:eastAsia="en-AU"/>
              </w:rPr>
            </w:pPr>
          </w:p>
          <w:p w:rsidR="008F10D7" w:rsidRPr="00DE0729" w:rsidRDefault="008F10D7"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tc>
      </w:tr>
      <w:tr w:rsidR="003D3C13" w:rsidTr="00DE0729">
        <w:trPr>
          <w:trHeight w:val="458"/>
        </w:trPr>
        <w:tc>
          <w:tcPr>
            <w:tcW w:w="9926" w:type="dxa"/>
            <w:gridSpan w:val="2"/>
            <w:shd w:val="clear" w:color="auto" w:fill="C6D9F1"/>
          </w:tcPr>
          <w:p w:rsidR="005D4CD1" w:rsidRPr="005D4CD1" w:rsidRDefault="005D4CD1" w:rsidP="005D4CD1">
            <w:pPr>
              <w:pStyle w:val="ListNumber"/>
              <w:rPr>
                <w:b/>
              </w:rPr>
            </w:pPr>
            <w:r w:rsidRPr="005D4CD1">
              <w:rPr>
                <w:b/>
              </w:rPr>
              <w:lastRenderedPageBreak/>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D3C13" w:rsidRPr="00DE0729" w:rsidRDefault="003D3C13" w:rsidP="003D3C13">
            <w:pPr>
              <w:spacing w:before="60" w:after="60" w:line="240" w:lineRule="auto"/>
              <w:outlineLvl w:val="1"/>
              <w:rPr>
                <w:sz w:val="24"/>
                <w:szCs w:val="24"/>
                <w:lang w:eastAsia="en-AU"/>
              </w:rPr>
            </w:pPr>
          </w:p>
          <w:p w:rsidR="003D3C13" w:rsidRDefault="004A62CE" w:rsidP="003D3C13">
            <w:pPr>
              <w:spacing w:before="60" w:after="60" w:line="240" w:lineRule="auto"/>
              <w:outlineLvl w:val="1"/>
              <w:rPr>
                <w:rFonts w:cs="Myriad Pro"/>
                <w:b/>
                <w:color w:val="000000"/>
                <w:sz w:val="28"/>
                <w:szCs w:val="28"/>
              </w:rPr>
            </w:pPr>
            <w:r w:rsidRPr="004A62CE">
              <w:rPr>
                <w:rFonts w:cs="Myriad Pro"/>
                <w:b/>
                <w:color w:val="000000"/>
                <w:sz w:val="28"/>
                <w:szCs w:val="28"/>
              </w:rPr>
              <w:t>a. Creating incentives to care for our heritage</w:t>
            </w:r>
          </w:p>
          <w:p w:rsidR="00DB66BE" w:rsidRDefault="00DB66BE" w:rsidP="003D3C13">
            <w:pPr>
              <w:spacing w:before="60" w:after="60" w:line="240" w:lineRule="auto"/>
              <w:outlineLvl w:val="1"/>
              <w:rPr>
                <w:rFonts w:cs="Myriad Pro"/>
                <w:b/>
                <w:color w:val="000000"/>
                <w:sz w:val="28"/>
                <w:szCs w:val="28"/>
              </w:rPr>
            </w:pPr>
          </w:p>
          <w:p w:rsidR="00DB66BE" w:rsidRPr="00DB66BE" w:rsidRDefault="00DB66BE" w:rsidP="003D3C13">
            <w:pPr>
              <w:spacing w:before="60" w:after="60" w:line="240" w:lineRule="auto"/>
              <w:outlineLvl w:val="1"/>
              <w:rPr>
                <w:rFonts w:cs="Myriad Pro"/>
                <w:color w:val="000000"/>
                <w:sz w:val="28"/>
                <w:szCs w:val="28"/>
              </w:rPr>
            </w:pPr>
            <w:r>
              <w:rPr>
                <w:rFonts w:cs="Myriad Pro"/>
                <w:color w:val="000000"/>
                <w:sz w:val="28"/>
                <w:szCs w:val="28"/>
              </w:rPr>
              <w:t>Encourage additional support from other government agencies and private heritage organisations to add value to worthwhile conservation projects.</w:t>
            </w:r>
          </w:p>
          <w:p w:rsidR="004A62CE" w:rsidRDefault="004A62CE" w:rsidP="003D3C13">
            <w:pPr>
              <w:spacing w:before="60" w:after="60" w:line="240" w:lineRule="auto"/>
              <w:outlineLvl w:val="1"/>
              <w:rPr>
                <w:rFonts w:cs="Myriad Pro"/>
                <w:b/>
                <w:color w:val="000000"/>
                <w:sz w:val="28"/>
                <w:szCs w:val="28"/>
              </w:rPr>
            </w:pPr>
          </w:p>
          <w:p w:rsidR="00DB66BE" w:rsidRDefault="00DB66BE" w:rsidP="003D3C13">
            <w:pPr>
              <w:spacing w:before="60" w:after="60" w:line="240" w:lineRule="auto"/>
              <w:outlineLvl w:val="1"/>
              <w:rPr>
                <w:rFonts w:cs="Myriad Pro"/>
                <w:b/>
                <w:color w:val="000000"/>
                <w:sz w:val="28"/>
                <w:szCs w:val="28"/>
              </w:rPr>
            </w:pPr>
            <w:r w:rsidRPr="00DB66BE">
              <w:rPr>
                <w:rFonts w:cs="Myriad Pro"/>
                <w:b/>
                <w:color w:val="000000"/>
                <w:sz w:val="28"/>
                <w:szCs w:val="28"/>
              </w:rPr>
              <w:t>b. Promoting greater knowledge and engagement with our heritage</w:t>
            </w:r>
          </w:p>
          <w:p w:rsidR="00DB66BE" w:rsidRDefault="00DB66BE" w:rsidP="003D3C13">
            <w:pPr>
              <w:spacing w:before="60" w:after="60" w:line="240" w:lineRule="auto"/>
              <w:outlineLvl w:val="1"/>
              <w:rPr>
                <w:rFonts w:cs="Myriad Pro"/>
                <w:b/>
                <w:color w:val="000000"/>
                <w:sz w:val="28"/>
                <w:szCs w:val="28"/>
              </w:rPr>
            </w:pPr>
          </w:p>
          <w:p w:rsidR="00DB66BE" w:rsidRDefault="00DB66BE" w:rsidP="003D3C13">
            <w:pPr>
              <w:spacing w:before="60" w:after="60" w:line="240" w:lineRule="auto"/>
              <w:outlineLvl w:val="1"/>
              <w:rPr>
                <w:rFonts w:cs="Myriad Pro"/>
                <w:color w:val="000000"/>
                <w:sz w:val="28"/>
                <w:szCs w:val="28"/>
              </w:rPr>
            </w:pPr>
            <w:r>
              <w:rPr>
                <w:rFonts w:cs="Myriad Pro"/>
                <w:color w:val="000000"/>
                <w:sz w:val="28"/>
                <w:szCs w:val="28"/>
              </w:rPr>
              <w:t>Enhance Australia’s Community Heritage web site to allow greater public interaction, allowing them to share their heritage stories.</w:t>
            </w:r>
          </w:p>
          <w:p w:rsidR="00DB66BE" w:rsidRDefault="00DB66BE" w:rsidP="003D3C13">
            <w:pPr>
              <w:spacing w:before="60" w:after="60" w:line="240" w:lineRule="auto"/>
              <w:outlineLvl w:val="1"/>
              <w:rPr>
                <w:rFonts w:cs="Myriad Pro"/>
                <w:color w:val="000000"/>
                <w:sz w:val="28"/>
                <w:szCs w:val="28"/>
              </w:rPr>
            </w:pPr>
          </w:p>
          <w:p w:rsidR="00DB66BE" w:rsidRDefault="00DB66BE" w:rsidP="003D3C13">
            <w:pPr>
              <w:spacing w:before="60" w:after="60" w:line="240" w:lineRule="auto"/>
              <w:outlineLvl w:val="1"/>
              <w:rPr>
                <w:rFonts w:cs="Myriad Pro"/>
                <w:color w:val="000000"/>
                <w:sz w:val="28"/>
                <w:szCs w:val="28"/>
              </w:rPr>
            </w:pPr>
            <w:r>
              <w:rPr>
                <w:rFonts w:cs="Myriad Pro"/>
                <w:color w:val="000000"/>
                <w:sz w:val="28"/>
                <w:szCs w:val="28"/>
              </w:rPr>
              <w:t>Encourage grant recipients to publish their project success stories on the Australia’s Community Heritage web site.</w:t>
            </w:r>
          </w:p>
          <w:p w:rsidR="00DB66BE" w:rsidRDefault="00DB66BE" w:rsidP="003D3C13">
            <w:pPr>
              <w:spacing w:before="60" w:after="60" w:line="240" w:lineRule="auto"/>
              <w:outlineLvl w:val="1"/>
              <w:rPr>
                <w:rFonts w:cs="Myriad Pro"/>
                <w:color w:val="000000"/>
                <w:sz w:val="28"/>
                <w:szCs w:val="28"/>
              </w:rPr>
            </w:pPr>
          </w:p>
          <w:p w:rsidR="00DB66BE" w:rsidRDefault="00DB66BE" w:rsidP="003D3C13">
            <w:pPr>
              <w:spacing w:before="60" w:after="60" w:line="240" w:lineRule="auto"/>
              <w:outlineLvl w:val="1"/>
              <w:rPr>
                <w:rFonts w:cs="Myriad Pro"/>
                <w:color w:val="000000"/>
                <w:sz w:val="28"/>
                <w:szCs w:val="28"/>
              </w:rPr>
            </w:pPr>
            <w:r>
              <w:rPr>
                <w:rFonts w:cs="Myriad Pro"/>
                <w:color w:val="000000"/>
                <w:sz w:val="28"/>
                <w:szCs w:val="28"/>
              </w:rPr>
              <w:t>Enhance the National Heritage web site to include a competition that allows people to nominate their best loved Australian heritage place or icon.</w:t>
            </w:r>
          </w:p>
          <w:p w:rsidR="00DB66BE" w:rsidRDefault="00DB66BE" w:rsidP="003D3C13">
            <w:pPr>
              <w:spacing w:before="60" w:after="60" w:line="240" w:lineRule="auto"/>
              <w:outlineLvl w:val="1"/>
              <w:rPr>
                <w:rFonts w:cs="Myriad Pro"/>
                <w:color w:val="000000"/>
                <w:sz w:val="28"/>
                <w:szCs w:val="28"/>
              </w:rPr>
            </w:pPr>
          </w:p>
          <w:p w:rsidR="00DB66BE" w:rsidRDefault="00DB66BE" w:rsidP="003D3C13">
            <w:pPr>
              <w:spacing w:before="60" w:after="60" w:line="240" w:lineRule="auto"/>
              <w:outlineLvl w:val="1"/>
              <w:rPr>
                <w:rFonts w:cs="Myriad Pro"/>
                <w:color w:val="000000"/>
                <w:sz w:val="28"/>
                <w:szCs w:val="28"/>
              </w:rPr>
            </w:pPr>
            <w:r>
              <w:rPr>
                <w:rFonts w:cs="Myriad Pro"/>
                <w:color w:val="000000"/>
                <w:sz w:val="28"/>
                <w:szCs w:val="28"/>
              </w:rPr>
              <w:t>The Commemorations of the Crossings of the Blue Mountains 2013 – 2015 (ongoing) is an example of a project that has promoted local heritage to a broader audience.</w:t>
            </w:r>
          </w:p>
          <w:p w:rsidR="00DB66BE" w:rsidRDefault="00DB66BE" w:rsidP="003D3C13">
            <w:pPr>
              <w:spacing w:before="60" w:after="60" w:line="240" w:lineRule="auto"/>
              <w:outlineLvl w:val="1"/>
              <w:rPr>
                <w:rFonts w:cs="Myriad Pro"/>
                <w:color w:val="000000"/>
                <w:sz w:val="28"/>
                <w:szCs w:val="28"/>
              </w:rPr>
            </w:pPr>
          </w:p>
          <w:p w:rsidR="00DB66BE" w:rsidRDefault="00DB66BE" w:rsidP="003D3C13">
            <w:pPr>
              <w:spacing w:before="60" w:after="60" w:line="240" w:lineRule="auto"/>
              <w:outlineLvl w:val="1"/>
              <w:rPr>
                <w:rFonts w:cs="Myriad Pro"/>
                <w:color w:val="000000"/>
                <w:sz w:val="28"/>
                <w:szCs w:val="28"/>
              </w:rPr>
            </w:pPr>
            <w:r>
              <w:rPr>
                <w:rFonts w:cs="Myriad Pro"/>
                <w:color w:val="000000"/>
                <w:sz w:val="28"/>
                <w:szCs w:val="28"/>
              </w:rPr>
              <w:lastRenderedPageBreak/>
              <w:t>Technology and media plays a big part in providing community access to heritage.  For example Blue Mountains Association of Cultural Heritage Organisations (BMACHO) has a Facebook page.  Each week we post a photograph from the collections of Local Studies Blue Mountains Libraries, Local Studies Lithgow City Council Library and Kurrajong Comleroy Historical Society.  Each month we have a different theme.  This month is architecture.  We get a tremendous response to the photos.</w:t>
            </w:r>
          </w:p>
          <w:p w:rsidR="00DB66BE" w:rsidRDefault="00DB66BE" w:rsidP="003D3C13">
            <w:pPr>
              <w:spacing w:before="60" w:after="60" w:line="240" w:lineRule="auto"/>
              <w:outlineLvl w:val="1"/>
              <w:rPr>
                <w:rFonts w:cs="Myriad Pro"/>
                <w:color w:val="000000"/>
                <w:sz w:val="28"/>
                <w:szCs w:val="28"/>
              </w:rPr>
            </w:pPr>
          </w:p>
          <w:p w:rsidR="00DB66BE" w:rsidRPr="00DB66BE" w:rsidRDefault="00DB66BE" w:rsidP="00DB66BE">
            <w:pPr>
              <w:autoSpaceDE w:val="0"/>
              <w:autoSpaceDN w:val="0"/>
              <w:adjustRightInd w:val="0"/>
              <w:spacing w:after="0" w:line="240" w:lineRule="auto"/>
              <w:rPr>
                <w:rFonts w:ascii="Adobe Garamond Pro" w:eastAsia="Calibri" w:hAnsi="Adobe Garamond Pro" w:cs="Adobe Garamond Pro"/>
                <w:color w:val="000000"/>
                <w:sz w:val="24"/>
                <w:szCs w:val="24"/>
                <w:lang w:eastAsia="en-AU"/>
              </w:rPr>
            </w:pPr>
          </w:p>
          <w:p w:rsidR="00DB66BE" w:rsidRPr="00DB66BE" w:rsidRDefault="00DB66BE" w:rsidP="003D3C13">
            <w:pPr>
              <w:spacing w:before="60" w:after="60" w:line="240" w:lineRule="auto"/>
              <w:outlineLvl w:val="1"/>
              <w:rPr>
                <w:rFonts w:cs="Myriad Pro"/>
                <w:color w:val="000000"/>
                <w:sz w:val="28"/>
                <w:szCs w:val="28"/>
              </w:rPr>
            </w:pPr>
          </w:p>
          <w:p w:rsidR="00DB66BE" w:rsidRDefault="00DB66BE" w:rsidP="003D3C13">
            <w:pPr>
              <w:spacing w:before="60" w:after="60" w:line="240" w:lineRule="auto"/>
              <w:outlineLvl w:val="1"/>
              <w:rPr>
                <w:rFonts w:cs="Myriad Pro"/>
                <w:b/>
                <w:color w:val="000000"/>
                <w:sz w:val="28"/>
                <w:szCs w:val="28"/>
              </w:rPr>
            </w:pPr>
          </w:p>
          <w:p w:rsidR="00DB66BE" w:rsidRPr="00DB66BE" w:rsidRDefault="00DB66BE" w:rsidP="00DB66BE">
            <w:pPr>
              <w:autoSpaceDE w:val="0"/>
              <w:autoSpaceDN w:val="0"/>
              <w:adjustRightInd w:val="0"/>
              <w:spacing w:after="0" w:line="240" w:lineRule="auto"/>
              <w:rPr>
                <w:rFonts w:ascii="Adobe Garamond Pro" w:eastAsia="Calibri" w:hAnsi="Adobe Garamond Pro" w:cs="Adobe Garamond Pro"/>
                <w:color w:val="000000"/>
                <w:sz w:val="24"/>
                <w:szCs w:val="24"/>
                <w:lang w:eastAsia="en-AU"/>
              </w:rPr>
            </w:pPr>
          </w:p>
          <w:p w:rsidR="00DB66BE" w:rsidRPr="00DB66BE" w:rsidRDefault="00DB66BE" w:rsidP="003D3C13">
            <w:pPr>
              <w:spacing w:before="60" w:after="60" w:line="240" w:lineRule="auto"/>
              <w:outlineLvl w:val="1"/>
              <w:rPr>
                <w:rFonts w:cs="Myriad Pro"/>
                <w:color w:val="000000"/>
                <w:sz w:val="28"/>
                <w:szCs w:val="28"/>
              </w:rPr>
            </w:pPr>
          </w:p>
          <w:p w:rsidR="00DB66BE" w:rsidRPr="00DB66BE" w:rsidRDefault="00DB66BE" w:rsidP="00DB66BE">
            <w:pPr>
              <w:autoSpaceDE w:val="0"/>
              <w:autoSpaceDN w:val="0"/>
              <w:adjustRightInd w:val="0"/>
              <w:spacing w:after="0" w:line="240" w:lineRule="auto"/>
              <w:rPr>
                <w:rFonts w:ascii="Adobe Garamond Pro" w:eastAsia="Calibri" w:hAnsi="Adobe Garamond Pro" w:cs="Adobe Garamond Pro"/>
                <w:color w:val="000000"/>
                <w:sz w:val="24"/>
                <w:szCs w:val="24"/>
                <w:lang w:eastAsia="en-AU"/>
              </w:rPr>
            </w:pPr>
          </w:p>
          <w:p w:rsidR="008F10D7" w:rsidRPr="00DE0729" w:rsidRDefault="008F10D7" w:rsidP="003D3C13">
            <w:pPr>
              <w:spacing w:before="60" w:after="60" w:line="240" w:lineRule="auto"/>
              <w:outlineLvl w:val="1"/>
              <w:rPr>
                <w:sz w:val="24"/>
                <w:szCs w:val="24"/>
                <w:lang w:eastAsia="en-AU"/>
              </w:rPr>
            </w:pPr>
          </w:p>
          <w:p w:rsidR="008F10D7" w:rsidRPr="00DE0729" w:rsidRDefault="008F10D7"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tc>
      </w:tr>
      <w:tr w:rsidR="003D3C13" w:rsidTr="00DE0729">
        <w:trPr>
          <w:trHeight w:val="407"/>
        </w:trPr>
        <w:tc>
          <w:tcPr>
            <w:tcW w:w="9926" w:type="dxa"/>
            <w:gridSpan w:val="2"/>
            <w:shd w:val="clear" w:color="auto" w:fill="C6D9F1"/>
          </w:tcPr>
          <w:p w:rsidR="003D3C13" w:rsidRPr="00DE0729" w:rsidRDefault="003D3C13" w:rsidP="003D3C13">
            <w:pPr>
              <w:spacing w:before="60" w:after="60" w:line="240" w:lineRule="auto"/>
              <w:outlineLvl w:val="1"/>
              <w:rPr>
                <w:b/>
                <w:sz w:val="24"/>
                <w:szCs w:val="24"/>
                <w:lang w:eastAsia="en-AU"/>
              </w:rPr>
            </w:pPr>
            <w:r w:rsidRPr="00DE0729">
              <w:rPr>
                <w:b/>
                <w:sz w:val="24"/>
                <w:szCs w:val="24"/>
                <w:lang w:eastAsia="en-AU"/>
              </w:rPr>
              <w:lastRenderedPageBreak/>
              <w:t>Other comments</w:t>
            </w:r>
          </w:p>
        </w:tc>
      </w:tr>
      <w:tr w:rsidR="003D3C13" w:rsidTr="003D3C13">
        <w:trPr>
          <w:trHeight w:val="847"/>
        </w:trPr>
        <w:tc>
          <w:tcPr>
            <w:tcW w:w="9926" w:type="dxa"/>
            <w:gridSpan w:val="2"/>
          </w:tcPr>
          <w:p w:rsidR="003D3C13" w:rsidRPr="00DE0729" w:rsidRDefault="003D3C13" w:rsidP="003D3C13">
            <w:pPr>
              <w:spacing w:before="60" w:after="60" w:line="240" w:lineRule="auto"/>
              <w:outlineLvl w:val="1"/>
              <w:rPr>
                <w:sz w:val="24"/>
                <w:szCs w:val="24"/>
                <w:lang w:eastAsia="en-AU"/>
              </w:rPr>
            </w:pPr>
          </w:p>
          <w:p w:rsidR="007161CE" w:rsidRPr="007161CE" w:rsidRDefault="007161CE" w:rsidP="007161CE">
            <w:pPr>
              <w:rPr>
                <w:rFonts w:cs="Adobe Garamond Pro"/>
                <w:color w:val="000000"/>
                <w:sz w:val="28"/>
                <w:szCs w:val="28"/>
              </w:rPr>
            </w:pPr>
            <w:r w:rsidRPr="007161CE">
              <w:rPr>
                <w:rFonts w:cs="Myriad Pro"/>
                <w:color w:val="000000"/>
                <w:sz w:val="28"/>
                <w:szCs w:val="28"/>
              </w:rPr>
              <w:t>Issues/Opportunities</w:t>
            </w:r>
          </w:p>
          <w:p w:rsidR="007161CE" w:rsidRDefault="007161CE" w:rsidP="007161CE">
            <w:pPr>
              <w:rPr>
                <w:rFonts w:cs="Adobe Garamond Pro"/>
                <w:color w:val="000000"/>
                <w:sz w:val="28"/>
                <w:szCs w:val="28"/>
              </w:rPr>
            </w:pPr>
            <w:r w:rsidRPr="007161CE">
              <w:rPr>
                <w:rFonts w:cs="Adobe Garamond Pro"/>
                <w:color w:val="000000"/>
                <w:sz w:val="28"/>
                <w:szCs w:val="28"/>
              </w:rPr>
              <w:t>Opportunities for alternate funding range from established practices such as philanthropic support to social media led crowd-funding approaches. Existing models include State Lottery funding in Western Australia and the Sydney Opera House’s recent sale of virtual tiles. These and other approaches can better be explored and implemented through cooperative partnerships.</w:t>
            </w:r>
          </w:p>
          <w:p w:rsidR="007161CE" w:rsidRDefault="007161CE" w:rsidP="007161CE">
            <w:pPr>
              <w:rPr>
                <w:rFonts w:cs="Adobe Garamond Pro"/>
                <w:color w:val="000000"/>
                <w:sz w:val="28"/>
                <w:szCs w:val="28"/>
              </w:rPr>
            </w:pPr>
            <w:r>
              <w:rPr>
                <w:rFonts w:cs="Adobe Garamond Pro"/>
                <w:color w:val="000000"/>
                <w:sz w:val="28"/>
                <w:szCs w:val="28"/>
              </w:rPr>
              <w:t xml:space="preserve">I have always thought that </w:t>
            </w:r>
            <w:proofErr w:type="gramStart"/>
            <w:r>
              <w:rPr>
                <w:rFonts w:cs="Adobe Garamond Pro"/>
                <w:color w:val="000000"/>
                <w:sz w:val="28"/>
                <w:szCs w:val="28"/>
              </w:rPr>
              <w:t>government,</w:t>
            </w:r>
            <w:proofErr w:type="gramEnd"/>
            <w:r>
              <w:rPr>
                <w:rFonts w:cs="Adobe Garamond Pro"/>
                <w:color w:val="000000"/>
                <w:sz w:val="28"/>
                <w:szCs w:val="28"/>
              </w:rPr>
              <w:t xml:space="preserve"> should </w:t>
            </w:r>
            <w:r w:rsidR="00AA77A4">
              <w:rPr>
                <w:rFonts w:cs="Adobe Garamond Pro"/>
                <w:color w:val="000000"/>
                <w:sz w:val="28"/>
                <w:szCs w:val="28"/>
              </w:rPr>
              <w:t xml:space="preserve">investigate </w:t>
            </w:r>
            <w:r>
              <w:rPr>
                <w:rFonts w:cs="Adobe Garamond Pro"/>
                <w:color w:val="000000"/>
                <w:sz w:val="28"/>
                <w:szCs w:val="28"/>
              </w:rPr>
              <w:t>hold</w:t>
            </w:r>
            <w:r w:rsidR="00AA77A4">
              <w:rPr>
                <w:rFonts w:cs="Adobe Garamond Pro"/>
                <w:color w:val="000000"/>
                <w:sz w:val="28"/>
                <w:szCs w:val="28"/>
              </w:rPr>
              <w:t>ing</w:t>
            </w:r>
            <w:r>
              <w:rPr>
                <w:rFonts w:cs="Adobe Garamond Pro"/>
                <w:color w:val="000000"/>
                <w:sz w:val="28"/>
                <w:szCs w:val="28"/>
              </w:rPr>
              <w:t xml:space="preserve"> a heritage lottery, similar to the Opera House Lottery that raised money to build the Sydney Opera House and use it to fund heritage projects, education, training, etc.  Australians will always have a gamble and the money would go to good use.</w:t>
            </w:r>
          </w:p>
          <w:p w:rsidR="007161CE" w:rsidRDefault="007161CE" w:rsidP="007161CE">
            <w:pPr>
              <w:rPr>
                <w:rFonts w:cs="Adobe Garamond Pro"/>
                <w:color w:val="000000"/>
                <w:sz w:val="28"/>
                <w:szCs w:val="28"/>
              </w:rPr>
            </w:pPr>
          </w:p>
          <w:p w:rsidR="007161CE" w:rsidRDefault="007161CE" w:rsidP="007161CE">
            <w:pPr>
              <w:rPr>
                <w:rFonts w:cs="Adobe Garamond Pro"/>
                <w:color w:val="000000"/>
                <w:sz w:val="28"/>
                <w:szCs w:val="28"/>
              </w:rPr>
            </w:pPr>
            <w:r w:rsidRPr="007161CE">
              <w:rPr>
                <w:rFonts w:cs="Adobe Garamond Pro"/>
                <w:b/>
                <w:color w:val="000000"/>
                <w:sz w:val="28"/>
                <w:szCs w:val="28"/>
              </w:rPr>
              <w:t>I wholeheartedly agree with the following</w:t>
            </w:r>
            <w:r>
              <w:rPr>
                <w:rFonts w:cs="Adobe Garamond Pro"/>
                <w:color w:val="000000"/>
                <w:sz w:val="28"/>
                <w:szCs w:val="28"/>
              </w:rPr>
              <w:t>:</w:t>
            </w:r>
          </w:p>
          <w:p w:rsidR="007161CE" w:rsidRPr="007161CE" w:rsidRDefault="007161CE" w:rsidP="007161CE">
            <w:pPr>
              <w:pStyle w:val="Pa13"/>
              <w:numPr>
                <w:ilvl w:val="0"/>
                <w:numId w:val="49"/>
              </w:numPr>
              <w:spacing w:before="380"/>
              <w:ind w:hanging="440"/>
              <w:rPr>
                <w:rFonts w:ascii="Calibri" w:hAnsi="Calibri" w:cs="Myriad Pro"/>
                <w:color w:val="000000"/>
                <w:sz w:val="28"/>
                <w:szCs w:val="28"/>
              </w:rPr>
            </w:pPr>
            <w:r w:rsidRPr="007161CE">
              <w:rPr>
                <w:rFonts w:ascii="Calibri" w:hAnsi="Calibri" w:cs="Myriad Pro"/>
                <w:color w:val="000000"/>
                <w:sz w:val="28"/>
                <w:szCs w:val="28"/>
              </w:rPr>
              <w:t>d. Foster greater collaboration between heritage and tourism sectors</w:t>
            </w:r>
          </w:p>
          <w:p w:rsidR="007161CE" w:rsidRPr="007161CE" w:rsidRDefault="007161CE" w:rsidP="007161CE">
            <w:pPr>
              <w:numPr>
                <w:ilvl w:val="0"/>
                <w:numId w:val="49"/>
              </w:numPr>
              <w:spacing w:line="240" w:lineRule="auto"/>
              <w:rPr>
                <w:sz w:val="28"/>
                <w:szCs w:val="28"/>
              </w:rPr>
            </w:pPr>
            <w:r w:rsidRPr="007161CE">
              <w:rPr>
                <w:rFonts w:cs="Adobe Garamond Pro"/>
                <w:color w:val="000000"/>
                <w:sz w:val="28"/>
                <w:szCs w:val="28"/>
              </w:rPr>
              <w:t>As well as providing a sense of place and providing context and continuity to our daily lives, heritage places and stories are increasingly recognised as an important driver of national and regional economies. Australia has many heritage listed destinations that both domestic and international tourists travel long distances to see. While many places draw crowds because of spectacular and iconic landscapes, tourists increasingly want a richer experience.</w:t>
            </w:r>
          </w:p>
          <w:p w:rsidR="007161CE" w:rsidRPr="007161CE" w:rsidRDefault="007161CE" w:rsidP="007161CE">
            <w:pPr>
              <w:numPr>
                <w:ilvl w:val="0"/>
                <w:numId w:val="49"/>
              </w:numPr>
              <w:spacing w:line="240" w:lineRule="auto"/>
              <w:rPr>
                <w:sz w:val="28"/>
                <w:szCs w:val="28"/>
              </w:rPr>
            </w:pPr>
            <w:r w:rsidRPr="007161CE">
              <w:rPr>
                <w:rFonts w:cs="Adobe Garamond Pro"/>
                <w:color w:val="000000"/>
                <w:sz w:val="28"/>
                <w:szCs w:val="28"/>
              </w:rPr>
              <w:t>Tourism research suggests that cultural visitors stay longer and spend more than other visitors. Culture and heritage play a critical role in global cities, and make an important contribution to regional and state economies. Recently it has been estimated that the Sydney Opera House, a World Heritage site, is worth over $4bn to the Australian economy. However growth in cultural tourism has shown that travellers want more, including greater understanding of our Indigenous cultural heritage</w:t>
            </w:r>
            <w:r>
              <w:rPr>
                <w:rFonts w:cs="Adobe Garamond Pro"/>
                <w:color w:val="000000"/>
                <w:sz w:val="28"/>
                <w:szCs w:val="28"/>
              </w:rPr>
              <w:t>….and so they should!</w:t>
            </w:r>
          </w:p>
          <w:p w:rsidR="007161CE" w:rsidRPr="007161CE" w:rsidRDefault="007161CE" w:rsidP="007161CE">
            <w:pPr>
              <w:rPr>
                <w:rFonts w:cs="Adobe Garamond Pro"/>
                <w:color w:val="000000"/>
                <w:sz w:val="28"/>
                <w:szCs w:val="28"/>
              </w:rPr>
            </w:pPr>
          </w:p>
          <w:p w:rsidR="008F10D7" w:rsidRPr="00DE0729" w:rsidRDefault="008F10D7" w:rsidP="003D3C13">
            <w:pPr>
              <w:spacing w:before="60" w:after="60" w:line="240" w:lineRule="auto"/>
              <w:outlineLvl w:val="1"/>
              <w:rPr>
                <w:sz w:val="24"/>
                <w:szCs w:val="24"/>
                <w:lang w:eastAsia="en-AU"/>
              </w:rPr>
            </w:pPr>
          </w:p>
          <w:p w:rsidR="008F10D7" w:rsidRPr="00DE0729" w:rsidRDefault="008F10D7"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p w:rsidR="005D4CD1" w:rsidRPr="00DE0729" w:rsidRDefault="005D4CD1" w:rsidP="003D3C13">
            <w:pPr>
              <w:spacing w:before="60" w:after="60" w:line="240" w:lineRule="auto"/>
              <w:outlineLvl w:val="1"/>
              <w:rPr>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9E6" w:rsidRDefault="002E39E6" w:rsidP="00A60185">
      <w:pPr>
        <w:spacing w:after="0" w:line="240" w:lineRule="auto"/>
      </w:pPr>
      <w:r>
        <w:separator/>
      </w:r>
    </w:p>
  </w:endnote>
  <w:endnote w:type="continuationSeparator" w:id="0">
    <w:p w:rsidR="002E39E6" w:rsidRDefault="002E39E6"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535551">
    <w:pPr>
      <w:pStyle w:val="Footer"/>
      <w:jc w:val="center"/>
    </w:pPr>
    <w:fldSimple w:instr=" PAGE   \* MERGEFORMAT ">
      <w:r w:rsidR="004B668A">
        <w:rPr>
          <w:noProof/>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9E6" w:rsidRDefault="002E39E6" w:rsidP="00A60185">
      <w:pPr>
        <w:spacing w:after="0" w:line="240" w:lineRule="auto"/>
      </w:pPr>
      <w:r>
        <w:separator/>
      </w:r>
    </w:p>
  </w:footnote>
  <w:footnote w:type="continuationSeparator" w:id="0">
    <w:p w:rsidR="002E39E6" w:rsidRDefault="002E39E6"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535551" w:rsidP="00E45765">
    <w:pPr>
      <w:pStyle w:val="Classification"/>
    </w:pPr>
    <w:r>
      <w:fldChar w:fldCharType="begin"/>
    </w:r>
    <w:r w:rsidR="00A17F75">
      <w:instrText xml:space="preserve"> DOCPROPERTY SecurityClassification \* MERGEFORMAT </w:instrText>
    </w:r>
    <w:r>
      <w:fldChar w:fldCharType="separate"/>
    </w:r>
    <w:r w:rsidR="00566839">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53555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margin-left:-17.1pt;margin-top:-8.65pt;width:208.2pt;height:61.15pt;z-index:-251658752;visibility:visible">
          <v:imagedata r:id="rId1"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535551">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22.75pt;height:65.2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67F4DD"/>
    <w:multiLevelType w:val="hybridMultilevel"/>
    <w:tmpl w:val="54EEFBE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C"/>
    <w:multiLevelType w:val="singleLevel"/>
    <w:tmpl w:val="EF6A4D88"/>
    <w:lvl w:ilvl="0">
      <w:start w:val="1"/>
      <w:numFmt w:val="decimal"/>
      <w:lvlText w:val="%1."/>
      <w:lvlJc w:val="left"/>
      <w:pPr>
        <w:tabs>
          <w:tab w:val="num" w:pos="1492"/>
        </w:tabs>
        <w:ind w:left="1492" w:hanging="360"/>
      </w:pPr>
    </w:lvl>
  </w:abstractNum>
  <w:abstractNum w:abstractNumId="2">
    <w:nsid w:val="FFFFFF7D"/>
    <w:multiLevelType w:val="singleLevel"/>
    <w:tmpl w:val="2090A8FA"/>
    <w:lvl w:ilvl="0">
      <w:start w:val="1"/>
      <w:numFmt w:val="decimal"/>
      <w:lvlText w:val="%1."/>
      <w:lvlJc w:val="left"/>
      <w:pPr>
        <w:tabs>
          <w:tab w:val="num" w:pos="1209"/>
        </w:tabs>
        <w:ind w:left="1209" w:hanging="360"/>
      </w:pPr>
    </w:lvl>
  </w:abstractNum>
  <w:abstractNum w:abstractNumId="3">
    <w:nsid w:val="FFFFFF7E"/>
    <w:multiLevelType w:val="singleLevel"/>
    <w:tmpl w:val="8D462BDC"/>
    <w:lvl w:ilvl="0">
      <w:start w:val="1"/>
      <w:numFmt w:val="decimal"/>
      <w:lvlText w:val="%1."/>
      <w:lvlJc w:val="left"/>
      <w:pPr>
        <w:tabs>
          <w:tab w:val="num" w:pos="926"/>
        </w:tabs>
        <w:ind w:left="926" w:hanging="360"/>
      </w:pPr>
    </w:lvl>
  </w:abstractNum>
  <w:abstractNum w:abstractNumId="4">
    <w:nsid w:val="FFFFFF7F"/>
    <w:multiLevelType w:val="singleLevel"/>
    <w:tmpl w:val="77B8748C"/>
    <w:lvl w:ilvl="0">
      <w:start w:val="1"/>
      <w:numFmt w:val="decimal"/>
      <w:lvlText w:val="%1."/>
      <w:lvlJc w:val="left"/>
      <w:pPr>
        <w:tabs>
          <w:tab w:val="num" w:pos="643"/>
        </w:tabs>
        <w:ind w:left="643" w:hanging="360"/>
      </w:pPr>
    </w:lvl>
  </w:abstractNum>
  <w:abstractNum w:abstractNumId="5">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63D68994"/>
    <w:lvl w:ilvl="0">
      <w:start w:val="1"/>
      <w:numFmt w:val="decimal"/>
      <w:lvlText w:val="%1."/>
      <w:lvlJc w:val="left"/>
      <w:pPr>
        <w:tabs>
          <w:tab w:val="num" w:pos="360"/>
        </w:tabs>
        <w:ind w:left="360" w:hanging="360"/>
      </w:pPr>
    </w:lvl>
  </w:abstractNum>
  <w:abstractNum w:abstractNumId="10">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2">
    <w:nsid w:val="05EC64B3"/>
    <w:multiLevelType w:val="multilevel"/>
    <w:tmpl w:val="E5E89F92"/>
    <w:numStyleLink w:val="BulletList"/>
  </w:abstractNum>
  <w:abstractNum w:abstractNumId="13">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4">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14AB21CC"/>
    <w:multiLevelType w:val="multilevel"/>
    <w:tmpl w:val="E898CC72"/>
    <w:numStyleLink w:val="KeyPoints"/>
  </w:abstractNum>
  <w:abstractNum w:abstractNumId="16">
    <w:nsid w:val="1784511A"/>
    <w:multiLevelType w:val="multilevel"/>
    <w:tmpl w:val="E898CC72"/>
    <w:numStyleLink w:val="KeyPoints"/>
  </w:abstractNum>
  <w:abstractNum w:abstractNumId="17">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1C291970"/>
    <w:multiLevelType w:val="multilevel"/>
    <w:tmpl w:val="E898CC72"/>
    <w:numStyleLink w:val="KeyPoints"/>
  </w:abstractNum>
  <w:abstractNum w:abstractNumId="19">
    <w:nsid w:val="1F745BC2"/>
    <w:multiLevelType w:val="multilevel"/>
    <w:tmpl w:val="E5E89F92"/>
    <w:numStyleLink w:val="BulletList"/>
  </w:abstractNum>
  <w:abstractNum w:abstractNumId="20">
    <w:nsid w:val="29253B4A"/>
    <w:multiLevelType w:val="multilevel"/>
    <w:tmpl w:val="E898CC72"/>
    <w:numStyleLink w:val="KeyPoints"/>
  </w:abstractNum>
  <w:abstractNum w:abstractNumId="21">
    <w:nsid w:val="2C1B4F6C"/>
    <w:multiLevelType w:val="multilevel"/>
    <w:tmpl w:val="E898CC72"/>
    <w:numStyleLink w:val="KeyPoints"/>
  </w:abstractNum>
  <w:abstractNum w:abstractNumId="22">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8816F9C"/>
    <w:multiLevelType w:val="multilevel"/>
    <w:tmpl w:val="E5E89F92"/>
    <w:numStyleLink w:val="BulletList"/>
  </w:abstractNum>
  <w:abstractNum w:abstractNumId="26">
    <w:nsid w:val="3B351B82"/>
    <w:multiLevelType w:val="multilevel"/>
    <w:tmpl w:val="E5E89F92"/>
    <w:numStyleLink w:val="BulletList"/>
  </w:abstractNum>
  <w:abstractNum w:abstractNumId="27">
    <w:nsid w:val="48B871CF"/>
    <w:multiLevelType w:val="multilevel"/>
    <w:tmpl w:val="E5E89F92"/>
    <w:numStyleLink w:val="BulletList"/>
  </w:abstractNum>
  <w:abstractNum w:abstractNumId="28">
    <w:nsid w:val="49016841"/>
    <w:multiLevelType w:val="multilevel"/>
    <w:tmpl w:val="E5E89F92"/>
    <w:numStyleLink w:val="BulletList"/>
  </w:abstractNum>
  <w:abstractNum w:abstractNumId="29">
    <w:nsid w:val="51A44175"/>
    <w:multiLevelType w:val="multilevel"/>
    <w:tmpl w:val="E5E89F92"/>
    <w:numStyleLink w:val="BulletList"/>
  </w:abstractNum>
  <w:abstractNum w:abstractNumId="3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5456429"/>
    <w:multiLevelType w:val="multilevel"/>
    <w:tmpl w:val="E898CC72"/>
    <w:numStyleLink w:val="KeyPoints"/>
  </w:abstractNum>
  <w:abstractNum w:abstractNumId="32">
    <w:nsid w:val="672E0C2A"/>
    <w:multiLevelType w:val="multilevel"/>
    <w:tmpl w:val="E5E89F92"/>
    <w:numStyleLink w:val="BulletList"/>
  </w:abstractNum>
  <w:abstractNum w:abstractNumId="33">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4">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A823B13"/>
    <w:multiLevelType w:val="multilevel"/>
    <w:tmpl w:val="E5E89F92"/>
    <w:numStyleLink w:val="BulletList"/>
  </w:abstractNum>
  <w:abstractNum w:abstractNumId="36">
    <w:nsid w:val="6DF2198A"/>
    <w:multiLevelType w:val="multilevel"/>
    <w:tmpl w:val="E5E89F92"/>
    <w:numStyleLink w:val="BulletList"/>
  </w:abstractNum>
  <w:abstractNum w:abstractNumId="37">
    <w:nsid w:val="6F032444"/>
    <w:multiLevelType w:val="multilevel"/>
    <w:tmpl w:val="E5E89F92"/>
    <w:numStyleLink w:val="BulletList"/>
  </w:abstractNum>
  <w:abstractNum w:abstractNumId="38">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2C700E0"/>
    <w:multiLevelType w:val="multilevel"/>
    <w:tmpl w:val="E898CC72"/>
    <w:numStyleLink w:val="KeyPoints"/>
  </w:abstractNum>
  <w:abstractNum w:abstractNumId="41">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2">
    <w:nsid w:val="788260C9"/>
    <w:multiLevelType w:val="multilevel"/>
    <w:tmpl w:val="E898CC72"/>
    <w:numStyleLink w:val="KeyPoints"/>
  </w:abstractNum>
  <w:abstractNum w:abstractNumId="43">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D3708B3"/>
    <w:multiLevelType w:val="multilevel"/>
    <w:tmpl w:val="E5E89F92"/>
    <w:numStyleLink w:val="BulletList"/>
  </w:abstractNum>
  <w:num w:numId="1">
    <w:abstractNumId w:val="41"/>
  </w:num>
  <w:num w:numId="2">
    <w:abstractNumId w:val="16"/>
    <w:lvlOverride w:ilvl="0">
      <w:lvl w:ilvl="0">
        <w:start w:val="1"/>
        <w:numFmt w:val="decimal"/>
        <w:lvlText w:val="%1."/>
        <w:lvlJc w:val="left"/>
        <w:pPr>
          <w:ind w:left="369" w:hanging="369"/>
        </w:pPr>
        <w:rPr>
          <w:rFonts w:ascii="Arial" w:hAnsi="Arial" w:cs="Arial" w:hint="default"/>
          <w:sz w:val="22"/>
        </w:rPr>
      </w:lvl>
    </w:lvlOverride>
  </w:num>
  <w:num w:numId="3">
    <w:abstractNumId w:val="11"/>
  </w:num>
  <w:num w:numId="4">
    <w:abstractNumId w:val="27"/>
  </w:num>
  <w:num w:numId="5">
    <w:abstractNumId w:val="38"/>
  </w:num>
  <w:num w:numId="6">
    <w:abstractNumId w:val="39"/>
  </w:num>
  <w:num w:numId="7">
    <w:abstractNumId w:val="34"/>
  </w:num>
  <w:num w:numId="8">
    <w:abstractNumId w:val="22"/>
  </w:num>
  <w:num w:numId="9">
    <w:abstractNumId w:val="10"/>
  </w:num>
  <w:num w:numId="10">
    <w:abstractNumId w:val="8"/>
  </w:num>
  <w:num w:numId="11">
    <w:abstractNumId w:val="7"/>
  </w:num>
  <w:num w:numId="12">
    <w:abstractNumId w:val="6"/>
  </w:num>
  <w:num w:numId="13">
    <w:abstractNumId w:val="5"/>
  </w:num>
  <w:num w:numId="14">
    <w:abstractNumId w:val="24"/>
  </w:num>
  <w:num w:numId="15">
    <w:abstractNumId w:val="17"/>
  </w:num>
  <w:num w:numId="16">
    <w:abstractNumId w:val="43"/>
  </w:num>
  <w:num w:numId="17">
    <w:abstractNumId w:val="13"/>
  </w:num>
  <w:num w:numId="18">
    <w:abstractNumId w:val="32"/>
  </w:num>
  <w:num w:numId="19">
    <w:abstractNumId w:val="12"/>
  </w:num>
  <w:num w:numId="20">
    <w:abstractNumId w:val="21"/>
  </w:num>
  <w:num w:numId="21">
    <w:abstractNumId w:val="15"/>
  </w:num>
  <w:num w:numId="22">
    <w:abstractNumId w:val="20"/>
  </w:num>
  <w:num w:numId="23">
    <w:abstractNumId w:val="28"/>
  </w:num>
  <w:num w:numId="24">
    <w:abstractNumId w:val="37"/>
  </w:num>
  <w:num w:numId="25">
    <w:abstractNumId w:val="33"/>
  </w:num>
  <w:num w:numId="26">
    <w:abstractNumId w:val="26"/>
  </w:num>
  <w:num w:numId="27">
    <w:abstractNumId w:val="40"/>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5"/>
  </w:num>
  <w:num w:numId="31">
    <w:abstractNumId w:val="36"/>
  </w:num>
  <w:num w:numId="32">
    <w:abstractNumId w:val="33"/>
  </w:num>
  <w:num w:numId="33">
    <w:abstractNumId w:val="29"/>
  </w:num>
  <w:num w:numId="34">
    <w:abstractNumId w:val="18"/>
  </w:num>
  <w:num w:numId="35">
    <w:abstractNumId w:val="30"/>
  </w:num>
  <w:num w:numId="36">
    <w:abstractNumId w:val="44"/>
  </w:num>
  <w:num w:numId="37">
    <w:abstractNumId w:val="44"/>
    <w:lvlOverride w:ilvl="0">
      <w:startOverride w:val="1"/>
    </w:lvlOverride>
  </w:num>
  <w:num w:numId="38">
    <w:abstractNumId w:val="9"/>
  </w:num>
  <w:num w:numId="39">
    <w:abstractNumId w:val="23"/>
  </w:num>
  <w:num w:numId="40">
    <w:abstractNumId w:val="4"/>
  </w:num>
  <w:num w:numId="41">
    <w:abstractNumId w:val="3"/>
  </w:num>
  <w:num w:numId="42">
    <w:abstractNumId w:val="2"/>
  </w:num>
  <w:num w:numId="43">
    <w:abstractNumId w:val="1"/>
  </w:num>
  <w:num w:numId="44">
    <w:abstractNumId w:val="42"/>
  </w:num>
  <w:num w:numId="45">
    <w:abstractNumId w:val="35"/>
  </w:num>
  <w:num w:numId="46">
    <w:abstractNumId w:val="45"/>
  </w:num>
  <w:num w:numId="47">
    <w:abstractNumId w:val="31"/>
  </w:num>
  <w:num w:numId="48">
    <w:abstractNumId w:val="19"/>
  </w:num>
  <w:num w:numId="4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oNotTrackMoves/>
  <w:defaultTabStop w:val="720"/>
  <w:drawingGridHorizontalSpacing w:val="11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C1C93"/>
    <w:rsid w:val="002C5066"/>
    <w:rsid w:val="002C5813"/>
    <w:rsid w:val="002D4AAC"/>
    <w:rsid w:val="002E39E6"/>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6F5B"/>
    <w:rsid w:val="00401C87"/>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A62CE"/>
    <w:rsid w:val="004B0D92"/>
    <w:rsid w:val="004B0EC0"/>
    <w:rsid w:val="004B668A"/>
    <w:rsid w:val="004B66F1"/>
    <w:rsid w:val="004C3EA0"/>
    <w:rsid w:val="004D3A92"/>
    <w:rsid w:val="004E3AA0"/>
    <w:rsid w:val="004F1AD9"/>
    <w:rsid w:val="004F6977"/>
    <w:rsid w:val="004F7169"/>
    <w:rsid w:val="00500D66"/>
    <w:rsid w:val="00512558"/>
    <w:rsid w:val="00514C8E"/>
    <w:rsid w:val="00531DBF"/>
    <w:rsid w:val="00535551"/>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D4C83"/>
    <w:rsid w:val="006E1CFE"/>
    <w:rsid w:val="006F10C4"/>
    <w:rsid w:val="006F40E9"/>
    <w:rsid w:val="006F5603"/>
    <w:rsid w:val="00701400"/>
    <w:rsid w:val="007037CF"/>
    <w:rsid w:val="007161CE"/>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1BA"/>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213B"/>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A77A4"/>
    <w:rsid w:val="00AB11C8"/>
    <w:rsid w:val="00AC08A8"/>
    <w:rsid w:val="00AD56C8"/>
    <w:rsid w:val="00AD58F2"/>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80F92"/>
    <w:rsid w:val="00D92C2E"/>
    <w:rsid w:val="00DA1B12"/>
    <w:rsid w:val="00DA54C9"/>
    <w:rsid w:val="00DA6739"/>
    <w:rsid w:val="00DA6CAE"/>
    <w:rsid w:val="00DB1A9E"/>
    <w:rsid w:val="00DB31D6"/>
    <w:rsid w:val="00DB4005"/>
    <w:rsid w:val="00DB66BE"/>
    <w:rsid w:val="00DC34EB"/>
    <w:rsid w:val="00DE0729"/>
    <w:rsid w:val="00DF1E5B"/>
    <w:rsid w:val="00DF2275"/>
    <w:rsid w:val="00DF3F5E"/>
    <w:rsid w:val="00DF5653"/>
    <w:rsid w:val="00E0596E"/>
    <w:rsid w:val="00E06F66"/>
    <w:rsid w:val="00E1120C"/>
    <w:rsid w:val="00E356E5"/>
    <w:rsid w:val="00E36F81"/>
    <w:rsid w:val="00E37D6F"/>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link w:val="Heading1"/>
    <w:rsid w:val="00C51CCA"/>
    <w:rPr>
      <w:rFonts w:cs="Arial"/>
      <w:b/>
      <w:caps/>
      <w:sz w:val="22"/>
      <w:szCs w:val="22"/>
      <w:lang w:eastAsia="en-US"/>
    </w:rPr>
  </w:style>
  <w:style w:type="character" w:customStyle="1" w:styleId="Heading2Char">
    <w:name w:val="Heading 2 Char"/>
    <w:link w:val="Heading2"/>
    <w:uiPriority w:val="9"/>
    <w:rsid w:val="000E31C1"/>
    <w:rPr>
      <w:rFonts w:cs="Arial"/>
      <w:b/>
      <w:sz w:val="22"/>
      <w:szCs w:val="22"/>
      <w:lang w:eastAsia="en-US"/>
    </w:rPr>
  </w:style>
  <w:style w:type="character" w:customStyle="1" w:styleId="Heading3Char">
    <w:name w:val="Heading 3 Char"/>
    <w:link w:val="Heading3"/>
    <w:rsid w:val="000E31C1"/>
    <w:rPr>
      <w:rFonts w:cs="Arial"/>
      <w:b/>
      <w:i/>
      <w:sz w:val="22"/>
      <w:szCs w:val="22"/>
      <w:lang w:eastAsia="en-US"/>
    </w:rPr>
  </w:style>
  <w:style w:type="character" w:customStyle="1" w:styleId="Heading4Char">
    <w:name w:val="Heading 4 Char"/>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link w:val="BodyText"/>
    <w:uiPriority w:val="99"/>
    <w:semiHidden/>
    <w:rsid w:val="007F5D8A"/>
    <w:rPr>
      <w:rFonts w:ascii="Calibri" w:eastAsia="Times New Roman" w:hAnsi="Calibri"/>
      <w:sz w:val="22"/>
      <w:szCs w:val="22"/>
      <w:lang w:eastAsia="en-US"/>
    </w:rPr>
  </w:style>
  <w:style w:type="character" w:styleId="Hyperlink">
    <w:name w:val="Hyperlink"/>
    <w:uiPriority w:val="99"/>
    <w:unhideWhenUsed/>
    <w:rsid w:val="007F5D8A"/>
    <w:rPr>
      <w:color w:val="0000FF"/>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customStyle="1" w:styleId="Default">
    <w:name w:val="Default"/>
    <w:rsid w:val="00401C87"/>
    <w:pPr>
      <w:autoSpaceDE w:val="0"/>
      <w:autoSpaceDN w:val="0"/>
      <w:adjustRightInd w:val="0"/>
    </w:pPr>
    <w:rPr>
      <w:rFonts w:ascii="Myriad Pro" w:hAnsi="Myriad Pro" w:cs="Myriad Pro"/>
      <w:color w:val="000000"/>
      <w:sz w:val="24"/>
      <w:szCs w:val="24"/>
    </w:rPr>
  </w:style>
  <w:style w:type="character" w:customStyle="1" w:styleId="A8">
    <w:name w:val="A8"/>
    <w:uiPriority w:val="99"/>
    <w:rsid w:val="00DB66BE"/>
    <w:rPr>
      <w:rFonts w:cs="Adobe Garamond Pro"/>
      <w:color w:val="000000"/>
      <w:sz w:val="20"/>
      <w:szCs w:val="20"/>
    </w:rPr>
  </w:style>
  <w:style w:type="paragraph" w:customStyle="1" w:styleId="Pa13">
    <w:name w:val="Pa13"/>
    <w:basedOn w:val="Default"/>
    <w:next w:val="Default"/>
    <w:uiPriority w:val="99"/>
    <w:rsid w:val="007161CE"/>
    <w:pPr>
      <w:spacing w:line="281" w:lineRule="atLeast"/>
    </w:pPr>
    <w:rPr>
      <w:rFonts w:cs="Times New Roman"/>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925</Words>
  <Characters>5273</Characters>
  <Application>Microsoft Office Word</Application>
  <DocSecurity>0</DocSecurity>
  <Lines>43</Lines>
  <Paragraphs>12</Paragraphs>
  <ScaleCrop>false</ScaleCrop>
  <LinksUpToDate>false</LinksUpToDate>
  <CharactersWithSpaces>6186</CharactersWithSpaces>
  <SharedDoc>false</SharedDoc>
  <HLinks>
    <vt:vector size="6" baseType="variant">
      <vt:variant>
        <vt:i4>2031712</vt:i4>
      </vt:variant>
      <vt:variant>
        <vt:i4>0</vt:i4>
      </vt:variant>
      <vt:variant>
        <vt:i4>0</vt:i4>
      </vt:variant>
      <vt:variant>
        <vt:i4>5</vt:i4>
      </vt:variant>
      <vt:variant>
        <vt:lpwstr>mailto:AusHeritageStrategy@environment.gov.au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063-blue-mountains-association-of-cultural-heritage-organisations</dc:title>
  <dc:creator/>
  <cp:lastModifiedBy/>
  <cp:revision>1</cp:revision>
  <dcterms:created xsi:type="dcterms:W3CDTF">2014-10-28T03:53:00Z</dcterms:created>
  <dcterms:modified xsi:type="dcterms:W3CDTF">2014-10-28T03:56:00Z</dcterms:modified>
</cp:coreProperties>
</file>