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821732" w:rsidP="000341CC">
            <w:pPr>
              <w:rPr>
                <w:rFonts w:ascii="Arial" w:hAnsi="Arial" w:cs="Arial"/>
              </w:rPr>
            </w:pPr>
            <w:r>
              <w:rPr>
                <w:rFonts w:ascii="Arial" w:hAnsi="Arial" w:cs="Arial"/>
              </w:rPr>
              <w:t>Maritime Archaeology Association of Victoria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821732" w:rsidP="000341CC">
            <w:pPr>
              <w:rPr>
                <w:rFonts w:ascii="Arial" w:hAnsi="Arial" w:cs="Arial"/>
                <w:b/>
                <w:lang w:val="en-GB"/>
              </w:rPr>
            </w:pPr>
            <w:r>
              <w:rPr>
                <w:rFonts w:ascii="Arial" w:hAnsi="Arial" w:cs="Arial"/>
                <w:b/>
                <w:lang w:val="en-GB"/>
              </w:rPr>
              <w:t>Peter Taylor</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D63A95" w:rsidP="000341CC">
            <w:pPr>
              <w:rPr>
                <w:rFonts w:ascii="Arial" w:hAnsi="Arial" w:cs="Arial"/>
                <w:b/>
                <w:lang w:val="en-GB"/>
              </w:rPr>
            </w:pPr>
            <w:r>
              <w:rPr>
                <w:rFonts w:ascii="Arial" w:hAnsi="Arial" w:cs="Arial"/>
                <w:b/>
                <w:lang w:val="en-GB"/>
              </w:rPr>
              <w:t>09/06/14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821732" w:rsidTr="00D30258">
        <w:trPr>
          <w:trHeight w:val="847"/>
        </w:trPr>
        <w:tc>
          <w:tcPr>
            <w:tcW w:w="9926" w:type="dxa"/>
            <w:gridSpan w:val="2"/>
          </w:tcPr>
          <w:p w:rsidR="00821732" w:rsidRDefault="00821732" w:rsidP="00D30258">
            <w:pPr>
              <w:tabs>
                <w:tab w:val="left" w:pos="2694"/>
              </w:tabs>
              <w:rPr>
                <w:rFonts w:ascii="Arial" w:hAnsi="Arial" w:cs="Arial"/>
                <w:sz w:val="24"/>
                <w:szCs w:val="24"/>
              </w:rPr>
            </w:pPr>
          </w:p>
          <w:p w:rsidR="00821732" w:rsidRDefault="00821732" w:rsidP="00D30258">
            <w:pPr>
              <w:tabs>
                <w:tab w:val="left" w:pos="2694"/>
              </w:tabs>
              <w:rPr>
                <w:rFonts w:ascii="Arial" w:hAnsi="Arial" w:cs="Arial"/>
                <w:sz w:val="24"/>
                <w:szCs w:val="24"/>
              </w:rPr>
            </w:pPr>
            <w:r>
              <w:rPr>
                <w:rFonts w:ascii="Arial" w:hAnsi="Arial" w:cs="Arial"/>
                <w:sz w:val="24"/>
                <w:szCs w:val="24"/>
              </w:rPr>
              <w:t xml:space="preserve">As Victoria’s prime association of avocational maritime archaeologists, and Australia’s most active group, we propose to make comment and suggestions for improvement to the upcoming Federal Government’s Strategy for Australia’s Heritage. We note in the circulated document on this new legislation that there is a dearth of information regarding funding and protection of Australia’s maritime cultural heritage and shipwrecks. We find just one reference to shipwrecks in the document: this appears in a flowchart. This lack of recognition is most surprising considering the importance of ships to the discovery and founding of the </w:t>
            </w:r>
            <w:r w:rsidR="00E56F55">
              <w:rPr>
                <w:rFonts w:ascii="Arial" w:hAnsi="Arial" w:cs="Arial"/>
                <w:sz w:val="24"/>
                <w:szCs w:val="24"/>
              </w:rPr>
              <w:t>non-indigenous</w:t>
            </w:r>
            <w:r>
              <w:rPr>
                <w:rFonts w:ascii="Arial" w:hAnsi="Arial" w:cs="Arial"/>
                <w:sz w:val="24"/>
                <w:szCs w:val="24"/>
              </w:rPr>
              <w:t xml:space="preserve"> </w:t>
            </w:r>
            <w:r w:rsidR="00E56F55">
              <w:rPr>
                <w:rFonts w:ascii="Arial" w:hAnsi="Arial" w:cs="Arial"/>
                <w:sz w:val="24"/>
                <w:szCs w:val="24"/>
              </w:rPr>
              <w:t xml:space="preserve">period of settlement in </w:t>
            </w:r>
            <w:r>
              <w:rPr>
                <w:rFonts w:ascii="Arial" w:hAnsi="Arial" w:cs="Arial"/>
                <w:sz w:val="24"/>
                <w:szCs w:val="24"/>
              </w:rPr>
              <w:t>Australia.</w:t>
            </w:r>
          </w:p>
          <w:p w:rsidR="00821732" w:rsidRDefault="00821732" w:rsidP="00D30258">
            <w:pPr>
              <w:tabs>
                <w:tab w:val="left" w:pos="0"/>
              </w:tabs>
              <w:rPr>
                <w:rFonts w:ascii="Arial" w:hAnsi="Arial" w:cs="Arial"/>
                <w:sz w:val="24"/>
                <w:szCs w:val="24"/>
              </w:rPr>
            </w:pPr>
            <w:r>
              <w:rPr>
                <w:rFonts w:ascii="Arial" w:hAnsi="Arial" w:cs="Arial"/>
                <w:sz w:val="24"/>
                <w:szCs w:val="24"/>
              </w:rPr>
              <w:tab/>
              <w:t xml:space="preserve">Under the heading </w:t>
            </w:r>
            <w:r>
              <w:rPr>
                <w:rFonts w:ascii="Arial" w:hAnsi="Arial" w:cs="Arial"/>
                <w:i/>
                <w:sz w:val="24"/>
                <w:szCs w:val="24"/>
              </w:rPr>
              <w:t>Australia’s heritage community</w:t>
            </w:r>
            <w:r>
              <w:rPr>
                <w:rFonts w:ascii="Arial" w:hAnsi="Arial" w:cs="Arial"/>
                <w:sz w:val="24"/>
                <w:szCs w:val="24"/>
              </w:rPr>
              <w:t xml:space="preserve">, there is no mention, or recognition of the important work carried out by avocational maritime archaeologists in </w:t>
            </w:r>
            <w:r>
              <w:rPr>
                <w:rFonts w:ascii="Arial" w:hAnsi="Arial" w:cs="Arial"/>
                <w:sz w:val="24"/>
                <w:szCs w:val="24"/>
              </w:rPr>
              <w:lastRenderedPageBreak/>
              <w:t>finding, recording and promoting Australia’s maritime cultural heritage and shipwrecks.</w:t>
            </w:r>
          </w:p>
          <w:p w:rsidR="00821732" w:rsidRDefault="00821732" w:rsidP="007958F3">
            <w:pPr>
              <w:tabs>
                <w:tab w:val="left" w:pos="0"/>
              </w:tabs>
              <w:rPr>
                <w:rFonts w:asciiTheme="minorHAnsi" w:hAnsiTheme="minorHAnsi"/>
                <w:sz w:val="24"/>
                <w:szCs w:val="24"/>
                <w:lang w:eastAsia="en-AU"/>
              </w:rPr>
            </w:pPr>
            <w:r>
              <w:rPr>
                <w:rFonts w:ascii="Arial" w:hAnsi="Arial" w:cs="Arial"/>
                <w:sz w:val="24"/>
                <w:szCs w:val="24"/>
              </w:rPr>
              <w:tab/>
              <w:t>There is no mention of future funding for the Commonwealth Historic Shipwrecks Program</w:t>
            </w:r>
            <w:r w:rsidR="00E56F55">
              <w:rPr>
                <w:rFonts w:ascii="Arial" w:hAnsi="Arial" w:cs="Arial"/>
                <w:sz w:val="24"/>
                <w:szCs w:val="24"/>
              </w:rPr>
              <w:t>me</w:t>
            </w:r>
            <w:r>
              <w:rPr>
                <w:rFonts w:ascii="Arial" w:hAnsi="Arial" w:cs="Arial"/>
                <w:sz w:val="24"/>
                <w:szCs w:val="24"/>
              </w:rPr>
              <w:t>; a very important source of fund</w:t>
            </w:r>
            <w:r w:rsidR="009B3505">
              <w:rPr>
                <w:rFonts w:ascii="Arial" w:hAnsi="Arial" w:cs="Arial"/>
                <w:sz w:val="24"/>
                <w:szCs w:val="24"/>
              </w:rPr>
              <w:t>ing</w:t>
            </w:r>
            <w:r>
              <w:rPr>
                <w:rFonts w:ascii="Arial" w:hAnsi="Arial" w:cs="Arial"/>
                <w:sz w:val="24"/>
                <w:szCs w:val="24"/>
              </w:rPr>
              <w:t xml:space="preserve"> that is distributed throughout Australia</w:t>
            </w:r>
            <w:r w:rsidR="009B3505">
              <w:rPr>
                <w:rFonts w:ascii="Arial" w:hAnsi="Arial" w:cs="Arial"/>
                <w:sz w:val="24"/>
                <w:szCs w:val="24"/>
              </w:rPr>
              <w:t>,</w:t>
            </w:r>
            <w:r>
              <w:rPr>
                <w:rFonts w:ascii="Arial" w:hAnsi="Arial" w:cs="Arial"/>
                <w:sz w:val="24"/>
                <w:szCs w:val="24"/>
              </w:rPr>
              <w:t xml:space="preserve"> amongst various government organisations.</w:t>
            </w:r>
          </w:p>
          <w:p w:rsidR="00821732" w:rsidRDefault="00821732" w:rsidP="00D30258">
            <w:pPr>
              <w:spacing w:before="60" w:after="60" w:line="240" w:lineRule="auto"/>
              <w:outlineLvl w:val="1"/>
              <w:rPr>
                <w:rFonts w:asciiTheme="minorHAnsi" w:hAnsiTheme="minorHAnsi"/>
                <w:sz w:val="24"/>
                <w:szCs w:val="24"/>
                <w:lang w:eastAsia="en-AU"/>
              </w:rPr>
            </w:pPr>
          </w:p>
          <w:p w:rsidR="00821732" w:rsidRDefault="00821732" w:rsidP="00D30258">
            <w:pPr>
              <w:spacing w:before="60" w:after="60" w:line="240" w:lineRule="auto"/>
              <w:outlineLvl w:val="1"/>
              <w:rPr>
                <w:rFonts w:asciiTheme="minorHAnsi" w:hAnsiTheme="minorHAnsi"/>
                <w:sz w:val="24"/>
                <w:szCs w:val="24"/>
                <w:lang w:eastAsia="en-AU"/>
              </w:rPr>
            </w:pPr>
          </w:p>
        </w:tc>
      </w:tr>
      <w:tr w:rsidR="003D3C13" w:rsidTr="00B146BD">
        <w:trPr>
          <w:trHeight w:val="1184"/>
        </w:trPr>
        <w:tc>
          <w:tcPr>
            <w:tcW w:w="9926" w:type="dxa"/>
            <w:gridSpan w:val="2"/>
            <w:tcBorders>
              <w:bottom w:val="single" w:sz="4" w:space="0" w:color="auto"/>
            </w:tcBorders>
          </w:tcPr>
          <w:p w:rsidR="00D825EF" w:rsidRPr="00D825EF" w:rsidRDefault="00D825EF" w:rsidP="00E14B99">
            <w:pPr>
              <w:autoSpaceDE w:val="0"/>
              <w:autoSpaceDN w:val="0"/>
              <w:adjustRightInd w:val="0"/>
              <w:spacing w:after="0" w:line="240" w:lineRule="auto"/>
              <w:rPr>
                <w:rFonts w:cstheme="minorHAnsi"/>
                <w:b/>
                <w:sz w:val="24"/>
                <w:szCs w:val="24"/>
              </w:rPr>
            </w:pPr>
            <w:r w:rsidRPr="00D825EF">
              <w:rPr>
                <w:rFonts w:cstheme="minorHAnsi"/>
                <w:b/>
                <w:sz w:val="24"/>
                <w:szCs w:val="24"/>
              </w:rPr>
              <w:lastRenderedPageBreak/>
              <w:t>Leadership in Heritage</w:t>
            </w:r>
          </w:p>
          <w:p w:rsidR="00E14B99" w:rsidRDefault="00E14B99" w:rsidP="00E14B99">
            <w:pPr>
              <w:autoSpaceDE w:val="0"/>
              <w:autoSpaceDN w:val="0"/>
              <w:adjustRightInd w:val="0"/>
              <w:spacing w:after="0" w:line="240" w:lineRule="auto"/>
              <w:rPr>
                <w:rFonts w:cstheme="minorHAnsi"/>
                <w:sz w:val="24"/>
                <w:szCs w:val="24"/>
              </w:rPr>
            </w:pPr>
          </w:p>
          <w:p w:rsidR="00821732" w:rsidRDefault="00821732" w:rsidP="00E14B99">
            <w:pPr>
              <w:autoSpaceDE w:val="0"/>
              <w:autoSpaceDN w:val="0"/>
              <w:adjustRightInd w:val="0"/>
              <w:spacing w:after="0" w:line="240" w:lineRule="auto"/>
              <w:rPr>
                <w:rFonts w:cstheme="minorHAnsi"/>
                <w:sz w:val="24"/>
                <w:szCs w:val="24"/>
              </w:rPr>
            </w:pPr>
          </w:p>
          <w:p w:rsidR="00821732" w:rsidRPr="00CD5297" w:rsidRDefault="00821732" w:rsidP="00821732">
            <w:pPr>
              <w:pStyle w:val="ListParagraph"/>
              <w:numPr>
                <w:ilvl w:val="0"/>
                <w:numId w:val="49"/>
              </w:numPr>
              <w:spacing w:after="0" w:line="240" w:lineRule="auto"/>
              <w:contextualSpacing/>
              <w:jc w:val="both"/>
              <w:rPr>
                <w:rFonts w:cs="Arial"/>
                <w:i/>
                <w:sz w:val="24"/>
                <w:szCs w:val="24"/>
              </w:rPr>
            </w:pPr>
            <w:r>
              <w:rPr>
                <w:rFonts w:cs="Arial"/>
                <w:sz w:val="24"/>
                <w:szCs w:val="24"/>
              </w:rPr>
              <w:t xml:space="preserve">Part 1 a: </w:t>
            </w:r>
            <w:r w:rsidRPr="00BC6C79">
              <w:rPr>
                <w:rFonts w:cs="Arial"/>
                <w:b/>
                <w:i/>
                <w:sz w:val="24"/>
                <w:szCs w:val="24"/>
              </w:rPr>
              <w:t>Commitments and proposed actions</w:t>
            </w:r>
            <w:r w:rsidRPr="00BC6C79">
              <w:rPr>
                <w:rFonts w:cs="Arial"/>
                <w:b/>
                <w:sz w:val="24"/>
                <w:szCs w:val="24"/>
              </w:rPr>
              <w:t>:</w:t>
            </w:r>
            <w:r>
              <w:rPr>
                <w:rFonts w:cs="Arial"/>
                <w:sz w:val="24"/>
                <w:szCs w:val="24"/>
              </w:rPr>
              <w:t xml:space="preserve"> </w:t>
            </w:r>
          </w:p>
          <w:p w:rsidR="00821732" w:rsidRPr="00CD5297" w:rsidRDefault="00821732" w:rsidP="00821732">
            <w:pPr>
              <w:pStyle w:val="ListParagraph"/>
              <w:numPr>
                <w:ilvl w:val="0"/>
                <w:numId w:val="0"/>
              </w:numPr>
              <w:ind w:left="720"/>
              <w:rPr>
                <w:rFonts w:cs="Arial"/>
                <w:i/>
                <w:sz w:val="24"/>
                <w:szCs w:val="24"/>
              </w:rPr>
            </w:pPr>
          </w:p>
          <w:p w:rsidR="00821732" w:rsidRDefault="00821732" w:rsidP="00821732">
            <w:pPr>
              <w:pStyle w:val="ListParagraph"/>
              <w:numPr>
                <w:ilvl w:val="0"/>
                <w:numId w:val="0"/>
              </w:numPr>
              <w:ind w:left="720"/>
              <w:rPr>
                <w:rFonts w:cs="Arial"/>
                <w:sz w:val="24"/>
                <w:szCs w:val="24"/>
              </w:rPr>
            </w:pPr>
            <w:r>
              <w:rPr>
                <w:rFonts w:cs="Arial"/>
                <w:sz w:val="24"/>
                <w:szCs w:val="24"/>
              </w:rPr>
              <w:t xml:space="preserve">Under this title we propose that an audit be conducted on Australia’s shipwreck </w:t>
            </w:r>
            <w:r w:rsidR="00433D7C">
              <w:rPr>
                <w:rFonts w:cs="Arial"/>
                <w:sz w:val="24"/>
                <w:szCs w:val="24"/>
              </w:rPr>
              <w:t xml:space="preserve">heritage </w:t>
            </w:r>
            <w:r>
              <w:rPr>
                <w:rFonts w:cs="Arial"/>
                <w:sz w:val="24"/>
                <w:szCs w:val="24"/>
              </w:rPr>
              <w:t>resource and a list of significant sites drawn up. The Government should show leadership</w:t>
            </w:r>
            <w:r w:rsidR="009B3505">
              <w:rPr>
                <w:rFonts w:cs="Arial"/>
                <w:sz w:val="24"/>
                <w:szCs w:val="24"/>
              </w:rPr>
              <w:t xml:space="preserve"> and commitment to Australia’s underwater cultural heritage</w:t>
            </w:r>
            <w:r>
              <w:rPr>
                <w:rFonts w:cs="Arial"/>
                <w:sz w:val="24"/>
                <w:szCs w:val="24"/>
              </w:rPr>
              <w:t xml:space="preserve"> by providing funding to carry out conservation, investigation, showcasing and publication of reports concerning significant sites.</w:t>
            </w:r>
          </w:p>
          <w:p w:rsidR="00433D7C" w:rsidRPr="00CD5297" w:rsidRDefault="00433D7C" w:rsidP="00433D7C">
            <w:pPr>
              <w:pStyle w:val="ListParagraph"/>
              <w:numPr>
                <w:ilvl w:val="0"/>
                <w:numId w:val="49"/>
              </w:numPr>
              <w:spacing w:after="0" w:line="240" w:lineRule="auto"/>
              <w:contextualSpacing/>
              <w:jc w:val="both"/>
              <w:rPr>
                <w:rFonts w:cs="Arial"/>
                <w:i/>
                <w:sz w:val="24"/>
                <w:szCs w:val="24"/>
              </w:rPr>
            </w:pPr>
            <w:r>
              <w:rPr>
                <w:rFonts w:cs="Arial"/>
                <w:sz w:val="24"/>
                <w:szCs w:val="24"/>
              </w:rPr>
              <w:t xml:space="preserve">Part 1 d: </w:t>
            </w:r>
            <w:r w:rsidRPr="00BC6C79">
              <w:rPr>
                <w:rFonts w:cs="Arial"/>
                <w:b/>
                <w:i/>
                <w:sz w:val="24"/>
                <w:szCs w:val="24"/>
              </w:rPr>
              <w:t>Contribute to international heritage standard setting and guidance</w:t>
            </w:r>
            <w:r w:rsidRPr="00BC6C79">
              <w:rPr>
                <w:rFonts w:cs="Arial"/>
                <w:b/>
                <w:sz w:val="24"/>
                <w:szCs w:val="24"/>
              </w:rPr>
              <w:t>:</w:t>
            </w:r>
            <w:r>
              <w:rPr>
                <w:rFonts w:cs="Arial"/>
                <w:sz w:val="24"/>
                <w:szCs w:val="24"/>
              </w:rPr>
              <w:t xml:space="preserve">  </w:t>
            </w:r>
          </w:p>
          <w:p w:rsidR="00433D7C" w:rsidRPr="00CD5297" w:rsidRDefault="00433D7C" w:rsidP="00433D7C">
            <w:pPr>
              <w:pStyle w:val="ListParagraph"/>
              <w:numPr>
                <w:ilvl w:val="0"/>
                <w:numId w:val="0"/>
              </w:numPr>
              <w:ind w:left="720"/>
              <w:rPr>
                <w:rFonts w:cs="Arial"/>
                <w:i/>
                <w:sz w:val="24"/>
                <w:szCs w:val="24"/>
              </w:rPr>
            </w:pPr>
          </w:p>
          <w:p w:rsidR="00433D7C" w:rsidRPr="00BC6C79" w:rsidRDefault="00433D7C" w:rsidP="00821732">
            <w:pPr>
              <w:pStyle w:val="ListParagraph"/>
              <w:numPr>
                <w:ilvl w:val="0"/>
                <w:numId w:val="0"/>
              </w:numPr>
              <w:ind w:left="720"/>
              <w:rPr>
                <w:rFonts w:cs="Arial"/>
                <w:i/>
                <w:sz w:val="24"/>
                <w:szCs w:val="24"/>
              </w:rPr>
            </w:pPr>
            <w:r>
              <w:rPr>
                <w:rFonts w:cs="Arial"/>
                <w:sz w:val="24"/>
                <w:szCs w:val="24"/>
              </w:rPr>
              <w:t>It is noted that the government plan to commit to further work with UNESCO, but as yet, Australia has not showed leadership by signing off on UNESCO’s Convention on the Protection of the Underwater Cultural Heritage. Though</w:t>
            </w:r>
            <w:r w:rsidR="001D2AC5">
              <w:rPr>
                <w:rFonts w:cs="Arial"/>
                <w:sz w:val="24"/>
                <w:szCs w:val="24"/>
              </w:rPr>
              <w:t xml:space="preserve"> this</w:t>
            </w:r>
            <w:r>
              <w:rPr>
                <w:rFonts w:cs="Arial"/>
                <w:sz w:val="24"/>
                <w:szCs w:val="24"/>
              </w:rPr>
              <w:t xml:space="preserve"> inaction, there appears to be a contradiction in the government’s objectives and lack of will to do something about it.</w:t>
            </w:r>
          </w:p>
          <w:p w:rsidR="008F10D7" w:rsidRDefault="008F10D7" w:rsidP="00821732">
            <w:pPr>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433D7C" w:rsidRPr="00433D7C" w:rsidRDefault="00433D7C" w:rsidP="00433D7C">
            <w:pPr>
              <w:pStyle w:val="ListParagraph"/>
              <w:numPr>
                <w:ilvl w:val="0"/>
                <w:numId w:val="0"/>
              </w:numPr>
              <w:spacing w:after="0" w:line="240" w:lineRule="auto"/>
              <w:ind w:left="720"/>
              <w:contextualSpacing/>
              <w:jc w:val="both"/>
              <w:rPr>
                <w:rFonts w:cs="Arial"/>
                <w:i/>
                <w:sz w:val="24"/>
                <w:szCs w:val="24"/>
              </w:rPr>
            </w:pPr>
          </w:p>
          <w:p w:rsidR="00433D7C" w:rsidRDefault="00433D7C" w:rsidP="00433D7C">
            <w:pPr>
              <w:pStyle w:val="ListParagraph"/>
              <w:numPr>
                <w:ilvl w:val="0"/>
                <w:numId w:val="49"/>
              </w:numPr>
              <w:spacing w:after="0" w:line="240" w:lineRule="auto"/>
              <w:contextualSpacing/>
              <w:jc w:val="both"/>
              <w:rPr>
                <w:rFonts w:cs="Arial"/>
                <w:sz w:val="24"/>
                <w:szCs w:val="24"/>
              </w:rPr>
            </w:pPr>
            <w:r w:rsidRPr="00433D7C">
              <w:rPr>
                <w:rFonts w:cs="Arial"/>
                <w:sz w:val="24"/>
                <w:szCs w:val="24"/>
              </w:rPr>
              <w:t xml:space="preserve">Part 2 b: </w:t>
            </w:r>
            <w:r w:rsidRPr="00433D7C">
              <w:rPr>
                <w:rFonts w:cs="Arial"/>
                <w:b/>
                <w:i/>
                <w:sz w:val="24"/>
                <w:szCs w:val="24"/>
              </w:rPr>
              <w:t>Building heritage capacity</w:t>
            </w:r>
            <w:r w:rsidRPr="00433D7C">
              <w:rPr>
                <w:rFonts w:cs="Arial"/>
                <w:b/>
                <w:sz w:val="24"/>
                <w:szCs w:val="24"/>
              </w:rPr>
              <w:t xml:space="preserve"> </w:t>
            </w:r>
            <w:r w:rsidRPr="00433D7C">
              <w:rPr>
                <w:rFonts w:cs="Arial"/>
                <w:b/>
                <w:i/>
                <w:sz w:val="24"/>
                <w:szCs w:val="24"/>
              </w:rPr>
              <w:t>th</w:t>
            </w:r>
            <w:r w:rsidRPr="00433D7C">
              <w:rPr>
                <w:rFonts w:cs="Arial"/>
                <w:b/>
                <w:sz w:val="24"/>
                <w:szCs w:val="24"/>
              </w:rPr>
              <w:t>ro</w:t>
            </w:r>
            <w:r w:rsidRPr="00433D7C">
              <w:rPr>
                <w:rFonts w:cs="Arial"/>
                <w:b/>
                <w:i/>
                <w:sz w:val="24"/>
                <w:szCs w:val="24"/>
              </w:rPr>
              <w:t>ugh workforce support, education and training</w:t>
            </w:r>
            <w:r w:rsidRPr="00433D7C">
              <w:rPr>
                <w:rFonts w:cs="Arial"/>
                <w:b/>
                <w:sz w:val="24"/>
                <w:szCs w:val="24"/>
              </w:rPr>
              <w:t>:</w:t>
            </w:r>
            <w:r w:rsidRPr="00433D7C">
              <w:rPr>
                <w:rFonts w:cs="Arial"/>
                <w:sz w:val="24"/>
                <w:szCs w:val="24"/>
              </w:rPr>
              <w:t xml:space="preserve"> </w:t>
            </w:r>
          </w:p>
          <w:p w:rsidR="00433D7C" w:rsidRPr="00433D7C" w:rsidRDefault="00433D7C" w:rsidP="00433D7C">
            <w:pPr>
              <w:pStyle w:val="ListParagraph"/>
              <w:numPr>
                <w:ilvl w:val="0"/>
                <w:numId w:val="0"/>
              </w:numPr>
              <w:spacing w:after="0" w:line="240" w:lineRule="auto"/>
              <w:ind w:left="720"/>
              <w:contextualSpacing/>
              <w:jc w:val="both"/>
              <w:rPr>
                <w:rFonts w:cs="Arial"/>
                <w:i/>
                <w:sz w:val="24"/>
                <w:szCs w:val="24"/>
              </w:rPr>
            </w:pPr>
          </w:p>
          <w:p w:rsidR="00433D7C" w:rsidRPr="00BC6C79" w:rsidRDefault="00433D7C" w:rsidP="00433D7C">
            <w:pPr>
              <w:pStyle w:val="ListParagraph"/>
              <w:numPr>
                <w:ilvl w:val="0"/>
                <w:numId w:val="0"/>
              </w:numPr>
              <w:ind w:left="720"/>
              <w:rPr>
                <w:rFonts w:cs="Arial"/>
                <w:i/>
                <w:sz w:val="24"/>
                <w:szCs w:val="24"/>
              </w:rPr>
            </w:pPr>
            <w:r>
              <w:rPr>
                <w:rFonts w:cs="Arial"/>
                <w:sz w:val="24"/>
                <w:szCs w:val="24"/>
              </w:rPr>
              <w:lastRenderedPageBreak/>
              <w:t xml:space="preserve">To educate divers regarding the importance of shipwrecks and Underwater Cultural Heritage; we suggest that funding be provided to the Australasian Institute for Maritime Archaeology (AIMA) to run subsidised AIMA/NAS (Nautical Archaeological Society) part 1 courses as an introduction to maritime archaeology. </w:t>
            </w:r>
          </w:p>
          <w:p w:rsidR="009B3505" w:rsidRPr="004738FB" w:rsidRDefault="009B3505" w:rsidP="009B3505">
            <w:pPr>
              <w:pStyle w:val="ListParagraph"/>
              <w:numPr>
                <w:ilvl w:val="0"/>
                <w:numId w:val="49"/>
              </w:numPr>
              <w:spacing w:after="0" w:line="240" w:lineRule="auto"/>
              <w:contextualSpacing/>
              <w:jc w:val="both"/>
              <w:rPr>
                <w:rFonts w:cs="Arial"/>
                <w:i/>
                <w:sz w:val="24"/>
                <w:szCs w:val="24"/>
              </w:rPr>
            </w:pPr>
            <w:r>
              <w:rPr>
                <w:rFonts w:cs="Arial"/>
                <w:sz w:val="24"/>
                <w:szCs w:val="24"/>
              </w:rPr>
              <w:t xml:space="preserve">Part 2 c: </w:t>
            </w:r>
            <w:r w:rsidRPr="00BC6C79">
              <w:rPr>
                <w:rFonts w:cs="Arial"/>
                <w:b/>
                <w:i/>
                <w:sz w:val="24"/>
                <w:szCs w:val="24"/>
              </w:rPr>
              <w:t xml:space="preserve">Innovative funding, resource sharing and creative </w:t>
            </w:r>
            <w:r w:rsidRPr="00BC6C79">
              <w:rPr>
                <w:rFonts w:cs="Arial"/>
                <w:b/>
                <w:sz w:val="24"/>
                <w:szCs w:val="24"/>
              </w:rPr>
              <w:t>partnerships:</w:t>
            </w:r>
            <w:r>
              <w:rPr>
                <w:rFonts w:cs="Arial"/>
                <w:sz w:val="24"/>
                <w:szCs w:val="24"/>
              </w:rPr>
              <w:t xml:space="preserve"> </w:t>
            </w:r>
          </w:p>
          <w:p w:rsidR="009B3505" w:rsidRPr="004738FB" w:rsidRDefault="009B3505" w:rsidP="009B3505">
            <w:pPr>
              <w:pStyle w:val="ListParagraph"/>
              <w:numPr>
                <w:ilvl w:val="0"/>
                <w:numId w:val="0"/>
              </w:numPr>
              <w:ind w:left="720"/>
              <w:rPr>
                <w:rFonts w:cs="Arial"/>
                <w:i/>
                <w:sz w:val="24"/>
                <w:szCs w:val="24"/>
              </w:rPr>
            </w:pPr>
          </w:p>
          <w:p w:rsidR="009B3505" w:rsidRPr="00BC6C79" w:rsidRDefault="009B3505" w:rsidP="009B3505">
            <w:pPr>
              <w:pStyle w:val="ListParagraph"/>
              <w:numPr>
                <w:ilvl w:val="0"/>
                <w:numId w:val="0"/>
              </w:numPr>
              <w:ind w:left="720"/>
              <w:rPr>
                <w:rFonts w:cs="Arial"/>
                <w:i/>
                <w:sz w:val="24"/>
                <w:szCs w:val="24"/>
              </w:rPr>
            </w:pPr>
            <w:r>
              <w:rPr>
                <w:rFonts w:cs="Arial"/>
                <w:sz w:val="24"/>
                <w:szCs w:val="24"/>
              </w:rPr>
              <w:t xml:space="preserve">We suggest that an innovative, productive and a cost-effective partnership between government and AIMA could be attained by funding AIMA to employ a full-time training officer in maritime archaeology. This work would include working with community groups, school groups, fishermen and divers to share information, resources and form lasting and rewarding partnerships. This would help to ensure the protection and reporting of shipwreck sites and other forms of underwater cultural heritage. </w:t>
            </w:r>
          </w:p>
          <w:p w:rsidR="00433D7C" w:rsidRDefault="00433D7C" w:rsidP="00433D7C">
            <w:pPr>
              <w:rPr>
                <w:rFonts w:ascii="Arial" w:hAnsi="Arial" w:cs="Arial"/>
                <w:i/>
                <w:sz w:val="24"/>
                <w:szCs w:val="24"/>
              </w:rPr>
            </w:pPr>
          </w:p>
          <w:p w:rsidR="005D4CD1" w:rsidRDefault="005D4CD1" w:rsidP="00D825EF">
            <w:pPr>
              <w:autoSpaceDE w:val="0"/>
              <w:autoSpaceDN w:val="0"/>
              <w:adjustRightInd w:val="0"/>
              <w:spacing w:after="0" w:line="240" w:lineRule="auto"/>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5D4CD1" w:rsidRDefault="005D4CD1" w:rsidP="009B3505">
            <w:pPr>
              <w:autoSpaceDE w:val="0"/>
              <w:autoSpaceDN w:val="0"/>
              <w:adjustRightInd w:val="0"/>
              <w:spacing w:after="0" w:line="240" w:lineRule="auto"/>
              <w:rPr>
                <w:rFonts w:asciiTheme="minorHAnsi" w:hAnsiTheme="minorHAnsi"/>
                <w:sz w:val="24"/>
                <w:szCs w:val="24"/>
                <w:lang w:eastAsia="en-AU"/>
              </w:rPr>
            </w:pPr>
          </w:p>
          <w:p w:rsidR="00E56F55" w:rsidRPr="00CD5297" w:rsidRDefault="00E56F55" w:rsidP="00E56F55">
            <w:pPr>
              <w:pStyle w:val="ListParagraph"/>
              <w:numPr>
                <w:ilvl w:val="0"/>
                <w:numId w:val="49"/>
              </w:numPr>
              <w:spacing w:after="0" w:line="240" w:lineRule="auto"/>
              <w:contextualSpacing/>
              <w:jc w:val="both"/>
              <w:rPr>
                <w:rFonts w:cs="Arial"/>
                <w:i/>
                <w:sz w:val="24"/>
                <w:szCs w:val="24"/>
              </w:rPr>
            </w:pPr>
            <w:r>
              <w:rPr>
                <w:rFonts w:cs="Arial"/>
                <w:sz w:val="24"/>
                <w:szCs w:val="24"/>
              </w:rPr>
              <w:t xml:space="preserve">Part 3 a: </w:t>
            </w:r>
            <w:r w:rsidRPr="00BC6C79">
              <w:rPr>
                <w:rFonts w:cs="Arial"/>
                <w:b/>
                <w:i/>
                <w:sz w:val="24"/>
                <w:szCs w:val="24"/>
              </w:rPr>
              <w:t>Creating incentives to care for our heritage</w:t>
            </w:r>
            <w:r w:rsidRPr="00BC6C79">
              <w:rPr>
                <w:rFonts w:cs="Arial"/>
                <w:b/>
                <w:sz w:val="24"/>
                <w:szCs w:val="24"/>
              </w:rPr>
              <w:t>:</w:t>
            </w:r>
            <w:r>
              <w:rPr>
                <w:rFonts w:cs="Arial"/>
                <w:sz w:val="24"/>
                <w:szCs w:val="24"/>
              </w:rPr>
              <w:t xml:space="preserve"> </w:t>
            </w:r>
          </w:p>
          <w:p w:rsidR="00E56F55" w:rsidRPr="00CD5297" w:rsidRDefault="00E56F55" w:rsidP="00E56F55">
            <w:pPr>
              <w:pStyle w:val="ListParagraph"/>
              <w:numPr>
                <w:ilvl w:val="0"/>
                <w:numId w:val="0"/>
              </w:numPr>
              <w:ind w:left="720"/>
              <w:rPr>
                <w:rFonts w:cs="Arial"/>
                <w:i/>
                <w:sz w:val="24"/>
                <w:szCs w:val="24"/>
              </w:rPr>
            </w:pPr>
          </w:p>
          <w:p w:rsidR="00E56F55" w:rsidRDefault="00E56F55" w:rsidP="00E56F55">
            <w:pPr>
              <w:pStyle w:val="ListParagraph"/>
              <w:ind w:firstLine="720"/>
              <w:rPr>
                <w:rFonts w:cs="Arial"/>
                <w:sz w:val="24"/>
                <w:szCs w:val="24"/>
              </w:rPr>
            </w:pPr>
            <w:r>
              <w:rPr>
                <w:rFonts w:cs="Arial"/>
                <w:sz w:val="24"/>
                <w:szCs w:val="24"/>
              </w:rPr>
              <w:t>Incentives for avocational groups should be provided to (a) provide funding to re-establish groups equivalent to the Maritime Archaeology Association of Victoria in the states and territories that don’t have such groups in existence. (b) Provide funding to those groups to conduct physical audits and execute projects under the direction and in partnership with government employed maritime archaeologists.</w:t>
            </w:r>
          </w:p>
          <w:p w:rsidR="00E56F55" w:rsidRDefault="00E56F55" w:rsidP="00E56F55">
            <w:pPr>
              <w:pStyle w:val="ListParagraph"/>
              <w:ind w:firstLine="720"/>
              <w:rPr>
                <w:rFonts w:cs="Arial"/>
                <w:sz w:val="24"/>
                <w:szCs w:val="24"/>
              </w:rPr>
            </w:pPr>
            <w:r w:rsidRPr="0069327F">
              <w:rPr>
                <w:rFonts w:cs="Arial"/>
                <w:sz w:val="24"/>
                <w:szCs w:val="24"/>
              </w:rPr>
              <w:t xml:space="preserve"> A national coastal shipwrecks trail should be established, linking states and territories that already have these in place. Fund</w:t>
            </w:r>
            <w:r>
              <w:rPr>
                <w:rFonts w:cs="Arial"/>
                <w:sz w:val="24"/>
                <w:szCs w:val="24"/>
              </w:rPr>
              <w:t>ing should be provided to erect</w:t>
            </w:r>
            <w:r w:rsidRPr="0069327F">
              <w:rPr>
                <w:rFonts w:cs="Arial"/>
                <w:sz w:val="24"/>
                <w:szCs w:val="24"/>
              </w:rPr>
              <w:t xml:space="preserve"> new signage systems</w:t>
            </w:r>
            <w:r>
              <w:rPr>
                <w:rFonts w:cs="Arial"/>
                <w:sz w:val="24"/>
                <w:szCs w:val="24"/>
              </w:rPr>
              <w:t>,</w:t>
            </w:r>
            <w:r w:rsidRPr="0069327F">
              <w:rPr>
                <w:rFonts w:cs="Arial"/>
                <w:sz w:val="24"/>
                <w:szCs w:val="24"/>
              </w:rPr>
              <w:t xml:space="preserve"> and applications </w:t>
            </w:r>
            <w:r>
              <w:rPr>
                <w:rFonts w:cs="Arial"/>
                <w:sz w:val="24"/>
                <w:szCs w:val="24"/>
              </w:rPr>
              <w:t xml:space="preserve">developed </w:t>
            </w:r>
            <w:r w:rsidRPr="0069327F">
              <w:rPr>
                <w:rFonts w:cs="Arial"/>
                <w:sz w:val="24"/>
                <w:szCs w:val="24"/>
              </w:rPr>
              <w:t>for smart devices.</w:t>
            </w:r>
          </w:p>
          <w:p w:rsidR="00537E06" w:rsidRDefault="00537E06" w:rsidP="00E56F55">
            <w:pPr>
              <w:pStyle w:val="ListParagraph"/>
              <w:ind w:firstLine="720"/>
              <w:rPr>
                <w:rFonts w:cs="Arial"/>
                <w:sz w:val="24"/>
                <w:szCs w:val="24"/>
              </w:rPr>
            </w:pPr>
            <w:r>
              <w:rPr>
                <w:rFonts w:cs="Arial"/>
                <w:sz w:val="24"/>
                <w:szCs w:val="24"/>
              </w:rPr>
              <w:t>The MAAV have been proactive in promoting Victoria’s underwater cultural heritage through its members’ work as publishers and recorders of shipwrecks and historical diving activities.</w:t>
            </w:r>
          </w:p>
          <w:p w:rsidR="00E56F55" w:rsidRPr="00407384" w:rsidRDefault="00E56F55" w:rsidP="00E56F55">
            <w:pPr>
              <w:pStyle w:val="ListParagraph"/>
              <w:numPr>
                <w:ilvl w:val="0"/>
                <w:numId w:val="0"/>
              </w:numPr>
              <w:ind w:left="720"/>
              <w:rPr>
                <w:rFonts w:cs="Arial"/>
                <w:i/>
                <w:sz w:val="24"/>
                <w:szCs w:val="24"/>
              </w:rPr>
            </w:pPr>
          </w:p>
          <w:p w:rsidR="009B3505" w:rsidRDefault="009B3505" w:rsidP="009B3505">
            <w:pPr>
              <w:autoSpaceDE w:val="0"/>
              <w:autoSpaceDN w:val="0"/>
              <w:adjustRightInd w:val="0"/>
              <w:spacing w:after="0" w:line="240" w:lineRule="auto"/>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7958F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Australia’s underwater cultural heritage is too important to let it disappear without some action being taken by both government and maritime heritage groups. There are too many sites</w:t>
            </w:r>
            <w:r w:rsidR="00024DD8">
              <w:rPr>
                <w:rFonts w:asciiTheme="minorHAnsi" w:hAnsiTheme="minorHAnsi"/>
                <w:sz w:val="24"/>
                <w:szCs w:val="24"/>
                <w:lang w:eastAsia="en-AU"/>
              </w:rPr>
              <w:t>,</w:t>
            </w:r>
            <w:r>
              <w:rPr>
                <w:rFonts w:asciiTheme="minorHAnsi" w:hAnsiTheme="minorHAnsi"/>
                <w:sz w:val="24"/>
                <w:szCs w:val="24"/>
                <w:lang w:eastAsia="en-AU"/>
              </w:rPr>
              <w:t xml:space="preserve"> and to assume that government employed maritime archaeologists can reach and record these is a folly. Groups with proper training </w:t>
            </w:r>
            <w:r w:rsidR="00024DD8">
              <w:rPr>
                <w:rFonts w:asciiTheme="minorHAnsi" w:hAnsiTheme="minorHAnsi"/>
                <w:sz w:val="24"/>
                <w:szCs w:val="24"/>
                <w:lang w:eastAsia="en-AU"/>
              </w:rPr>
              <w:t xml:space="preserve">and well supervised </w:t>
            </w:r>
            <w:r>
              <w:rPr>
                <w:rFonts w:asciiTheme="minorHAnsi" w:hAnsiTheme="minorHAnsi"/>
                <w:sz w:val="24"/>
                <w:szCs w:val="24"/>
                <w:lang w:eastAsia="en-AU"/>
              </w:rPr>
              <w:t>could undertake some of this work</w:t>
            </w:r>
            <w:r w:rsidR="00024DD8">
              <w:rPr>
                <w:rFonts w:asciiTheme="minorHAnsi" w:hAnsiTheme="minorHAnsi"/>
                <w:sz w:val="24"/>
                <w:szCs w:val="24"/>
                <w:lang w:eastAsia="en-AU"/>
              </w:rPr>
              <w:t xml:space="preserve"> (non-invasive)</w:t>
            </w:r>
            <w:r>
              <w:rPr>
                <w:rFonts w:asciiTheme="minorHAnsi" w:hAnsiTheme="minorHAnsi"/>
                <w:sz w:val="24"/>
                <w:szCs w:val="24"/>
                <w:lang w:eastAsia="en-AU"/>
              </w:rPr>
              <w:t>, which would be reported back to the relevant authority.</w:t>
            </w:r>
          </w:p>
          <w:p w:rsidR="007958F3" w:rsidRDefault="007958F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One of the most effective ways of achieving this would be to fund AIMA to run these courses whereby there is an recognised outcome with a certificate in Part I, II or III</w:t>
            </w:r>
            <w:r w:rsidR="00024DD8">
              <w:rPr>
                <w:rFonts w:asciiTheme="minorHAnsi" w:hAnsiTheme="minorHAnsi"/>
                <w:sz w:val="24"/>
                <w:szCs w:val="24"/>
                <w:lang w:eastAsia="en-AU"/>
              </w:rPr>
              <w:t xml:space="preserve"> of their accredited Nautical Archaeology Association course</w:t>
            </w:r>
            <w:r>
              <w:rPr>
                <w:rFonts w:asciiTheme="minorHAnsi" w:hAnsiTheme="minorHAnsi"/>
                <w:sz w:val="24"/>
                <w:szCs w:val="24"/>
                <w:lang w:eastAsia="en-AU"/>
              </w:rPr>
              <w:t>. This would help to develop a highly trained volunteer workforce</w:t>
            </w:r>
            <w:r w:rsidR="00024DD8">
              <w:rPr>
                <w:rFonts w:asciiTheme="minorHAnsi" w:hAnsiTheme="minorHAnsi"/>
                <w:sz w:val="24"/>
                <w:szCs w:val="24"/>
                <w:lang w:eastAsia="en-AU"/>
              </w:rPr>
              <w:t xml:space="preserve"> to support both government and maritime heritage groups.</w:t>
            </w: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303" w:rsidRDefault="00AB0303" w:rsidP="00A60185">
      <w:pPr>
        <w:spacing w:after="0" w:line="240" w:lineRule="auto"/>
      </w:pPr>
      <w:r>
        <w:separator/>
      </w:r>
    </w:p>
  </w:endnote>
  <w:endnote w:type="continuationSeparator" w:id="0">
    <w:p w:rsidR="00AB0303" w:rsidRDefault="00AB030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3F52C0">
        <w:pPr>
          <w:pStyle w:val="Footer"/>
          <w:jc w:val="center"/>
        </w:pPr>
        <w:r>
          <w:fldChar w:fldCharType="begin"/>
        </w:r>
        <w:r w:rsidR="00804AC3">
          <w:instrText xml:space="preserve"> PAGE   \* MERGEFORMAT </w:instrText>
        </w:r>
        <w:r>
          <w:fldChar w:fldCharType="separate"/>
        </w:r>
        <w:r w:rsidR="00546A07">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303" w:rsidRDefault="00AB0303" w:rsidP="00A60185">
      <w:pPr>
        <w:spacing w:after="0" w:line="240" w:lineRule="auto"/>
      </w:pPr>
      <w:r>
        <w:separator/>
      </w:r>
    </w:p>
  </w:footnote>
  <w:footnote w:type="continuationSeparator" w:id="0">
    <w:p w:rsidR="00AB0303" w:rsidRDefault="00AB030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3F52C0" w:rsidP="00E45765">
    <w:pPr>
      <w:pStyle w:val="Classification"/>
    </w:pPr>
    <w:r>
      <w:fldChar w:fldCharType="begin"/>
    </w:r>
    <w:r w:rsidR="00A17F75">
      <w:instrText xml:space="preserve"> DOCPROPERTY SecurityClassification \* MERGEFORMAT </w:instrText>
    </w:r>
    <w:r>
      <w:fldChar w:fldCharType="separate"/>
    </w:r>
    <w:r w:rsidR="003F173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3BAC6D5B"/>
    <w:multiLevelType w:val="hybridMultilevel"/>
    <w:tmpl w:val="CFACA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8"/>
  </w:num>
  <w:num w:numId="24">
    <w:abstractNumId w:val="37"/>
  </w:num>
  <w:num w:numId="25">
    <w:abstractNumId w:val="33"/>
  </w:num>
  <w:num w:numId="26">
    <w:abstractNumId w:val="25"/>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4DD8"/>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0F33DD"/>
    <w:rsid w:val="00100BEF"/>
    <w:rsid w:val="0010267C"/>
    <w:rsid w:val="00102A6C"/>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2AC5"/>
    <w:rsid w:val="001D504E"/>
    <w:rsid w:val="001E1182"/>
    <w:rsid w:val="001E34EB"/>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173F"/>
    <w:rsid w:val="003F52C0"/>
    <w:rsid w:val="003F6F5B"/>
    <w:rsid w:val="0040342D"/>
    <w:rsid w:val="00406B0D"/>
    <w:rsid w:val="0041192D"/>
    <w:rsid w:val="00413EE1"/>
    <w:rsid w:val="0042128E"/>
    <w:rsid w:val="00432B60"/>
    <w:rsid w:val="00433D7C"/>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37E06"/>
    <w:rsid w:val="00545759"/>
    <w:rsid w:val="00545BE0"/>
    <w:rsid w:val="00546930"/>
    <w:rsid w:val="00546A07"/>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958F3"/>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04AC3"/>
    <w:rsid w:val="00810A67"/>
    <w:rsid w:val="00821732"/>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505"/>
    <w:rsid w:val="009B38BE"/>
    <w:rsid w:val="009C3D0F"/>
    <w:rsid w:val="009E02AC"/>
    <w:rsid w:val="009E1B19"/>
    <w:rsid w:val="009F35E2"/>
    <w:rsid w:val="009F65F9"/>
    <w:rsid w:val="009F68BA"/>
    <w:rsid w:val="00A06277"/>
    <w:rsid w:val="00A079DC"/>
    <w:rsid w:val="00A111C2"/>
    <w:rsid w:val="00A15A5A"/>
    <w:rsid w:val="00A17F75"/>
    <w:rsid w:val="00A23540"/>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0303"/>
    <w:rsid w:val="00AB11C8"/>
    <w:rsid w:val="00AC08A8"/>
    <w:rsid w:val="00AD56C8"/>
    <w:rsid w:val="00AD58F2"/>
    <w:rsid w:val="00AF32B4"/>
    <w:rsid w:val="00B0512A"/>
    <w:rsid w:val="00B0529F"/>
    <w:rsid w:val="00B059F6"/>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77F76"/>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5DEB"/>
    <w:rsid w:val="00D26D3A"/>
    <w:rsid w:val="00D41615"/>
    <w:rsid w:val="00D45EE3"/>
    <w:rsid w:val="00D50618"/>
    <w:rsid w:val="00D509E9"/>
    <w:rsid w:val="00D53B1C"/>
    <w:rsid w:val="00D56B2E"/>
    <w:rsid w:val="00D63A95"/>
    <w:rsid w:val="00D65083"/>
    <w:rsid w:val="00D825EF"/>
    <w:rsid w:val="00D92C2E"/>
    <w:rsid w:val="00DA1B12"/>
    <w:rsid w:val="00DA54C9"/>
    <w:rsid w:val="00DA6739"/>
    <w:rsid w:val="00DA6CAE"/>
    <w:rsid w:val="00DB1A9E"/>
    <w:rsid w:val="00DB31D6"/>
    <w:rsid w:val="00DB4005"/>
    <w:rsid w:val="00DC34EB"/>
    <w:rsid w:val="00DF1E5B"/>
    <w:rsid w:val="00DF2275"/>
    <w:rsid w:val="00DF3F5E"/>
    <w:rsid w:val="00DF4210"/>
    <w:rsid w:val="00DF5653"/>
    <w:rsid w:val="00E03B99"/>
    <w:rsid w:val="00E0596E"/>
    <w:rsid w:val="00E06F66"/>
    <w:rsid w:val="00E14B99"/>
    <w:rsid w:val="00E356E5"/>
    <w:rsid w:val="00E36F81"/>
    <w:rsid w:val="00E45765"/>
    <w:rsid w:val="00E5098C"/>
    <w:rsid w:val="00E5475A"/>
    <w:rsid w:val="00E56F55"/>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C6358"/>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5678</Characters>
  <Application>Microsoft Office Word</Application>
  <DocSecurity>0</DocSecurity>
  <Lines>47</Lines>
  <Paragraphs>13</Paragraphs>
  <ScaleCrop>false</ScaleCrop>
  <LinksUpToDate>false</LinksUpToDate>
  <CharactersWithSpaces>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057-maritime-archaeology-assooc-vic</dc:title>
  <dc:creator/>
  <cp:lastModifiedBy/>
  <cp:revision>1</cp:revision>
  <dcterms:created xsi:type="dcterms:W3CDTF">2014-10-29T03:56:00Z</dcterms:created>
  <dcterms:modified xsi:type="dcterms:W3CDTF">2014-10-29T03:56:00Z</dcterms:modified>
</cp:coreProperties>
</file>