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652A12" w:rsidRDefault="007952AC" w:rsidP="00652A12">
      <w:pPr>
        <w:pStyle w:val="NormalWeb"/>
        <w:spacing w:before="0" w:beforeAutospacing="0" w:after="0" w:afterAutospacing="0"/>
        <w:rPr>
          <w:rFonts w:ascii="Arial" w:hAnsi="Arial" w:cs="Arial"/>
          <w:sz w:val="20"/>
          <w:szCs w:val="20"/>
        </w:rPr>
      </w:pPr>
    </w:p>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7952AC" w:rsidP="000341CC">
            <w:pPr>
              <w:rPr>
                <w:rFonts w:ascii="Arial" w:hAnsi="Arial" w:cs="Arial"/>
              </w:rPr>
            </w:pP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8F0D14" w:rsidP="000341CC">
            <w:pPr>
              <w:rPr>
                <w:rFonts w:ascii="Arial" w:hAnsi="Arial" w:cs="Arial"/>
                <w:b/>
                <w:lang w:val="en-GB"/>
              </w:rPr>
            </w:pP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210C0F" w:rsidP="000341CC">
            <w:pPr>
              <w:rPr>
                <w:rFonts w:ascii="Arial" w:hAnsi="Arial" w:cs="Arial"/>
                <w:b/>
                <w:lang w:val="en-GB"/>
              </w:rPr>
            </w:pPr>
            <w:r>
              <w:rPr>
                <w:rFonts w:ascii="Arial" w:hAnsi="Arial" w:cs="Arial"/>
                <w:b/>
                <w:lang w:val="en-GB"/>
              </w:rPr>
              <w:t>6 June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3D3C13" w:rsidRDefault="003D3C13"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3D3C13" w:rsidRDefault="00210C0F"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Governments and peak heritage organisations have a role and responsibility in creating a demand for skilled heritage trades by ensuring appropriate standards are required across the industry. Without appropriately qualified and accredited heritage professionals and standards for conservation there will not be sufficient demand for skilled trades.  At present only those educated in the need to use appropriate materials and methods will seek traditional skills and craftsmen.  Skills training in traditional methods and materials will only be successful if the demand exists for the trades</w:t>
            </w:r>
            <w:r w:rsidR="00A44552">
              <w:rPr>
                <w:rFonts w:asciiTheme="minorHAnsi" w:hAnsiTheme="minorHAnsi"/>
                <w:sz w:val="24"/>
                <w:szCs w:val="24"/>
                <w:lang w:eastAsia="en-AU"/>
              </w:rPr>
              <w:t>.  ICOMOS already has a form of accreditation for its members and this could be a start to ensure all heritage professionals have a baseline accreditation, which could be extended to heritage trades.  Governments and grant funding bodies could make this affiliation a condition of their incentives and creation and adoption of national standards in conservation would further support this.</w:t>
            </w:r>
          </w:p>
          <w:p w:rsidR="00A44552" w:rsidRDefault="00A44552" w:rsidP="003D3C13">
            <w:pPr>
              <w:spacing w:before="60" w:after="60" w:line="240" w:lineRule="auto"/>
              <w:outlineLvl w:val="1"/>
              <w:rPr>
                <w:rFonts w:asciiTheme="minorHAnsi" w:hAnsiTheme="minorHAnsi"/>
                <w:sz w:val="24"/>
                <w:szCs w:val="24"/>
                <w:lang w:eastAsia="en-AU"/>
              </w:rPr>
            </w:pPr>
          </w:p>
          <w:p w:rsidR="00B542F2" w:rsidRDefault="00A44552"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A successful example of stimulating heritage skills has been demonstrated in the UK rural development grants run by DEFRA that encouraged landowners to adopt traditional farming methods such as hedgelaying, drystone walling and traditional farm building conservation to restore landscapes and environmental diversity.  Grants were paid conditional on entering a management agreement and the work being completed to an appropriate standard.  The grants acted as a catalyst to subsidise and stimulate demand for traditional skills and materials which in turn encouraged new trainees into the trades allowing important skills to be transferred and an economic price to be charged for the work.  After 10 years of the scheme natural market forces of supply and demand created by greater awareness by owners of the traditional skills and materials</w:t>
            </w:r>
            <w:r w:rsidR="00F605C6">
              <w:rPr>
                <w:rFonts w:asciiTheme="minorHAnsi" w:hAnsiTheme="minorHAnsi"/>
                <w:sz w:val="24"/>
                <w:szCs w:val="24"/>
                <w:lang w:eastAsia="en-AU"/>
              </w:rPr>
              <w:t xml:space="preserve"> required and </w:t>
            </w:r>
            <w:r>
              <w:rPr>
                <w:rFonts w:asciiTheme="minorHAnsi" w:hAnsiTheme="minorHAnsi"/>
                <w:sz w:val="24"/>
                <w:szCs w:val="24"/>
                <w:lang w:eastAsia="en-AU"/>
              </w:rPr>
              <w:t>available, resulted in sustainable businesses</w:t>
            </w:r>
            <w:r w:rsidR="00B542F2">
              <w:rPr>
                <w:rFonts w:asciiTheme="minorHAnsi" w:hAnsiTheme="minorHAnsi"/>
                <w:sz w:val="24"/>
                <w:szCs w:val="24"/>
                <w:lang w:eastAsia="en-AU"/>
              </w:rPr>
              <w:t xml:space="preserve"> delivering traditional trades and materials.</w:t>
            </w:r>
          </w:p>
          <w:p w:rsidR="00B542F2" w:rsidRDefault="00B542F2" w:rsidP="003D3C13">
            <w:pPr>
              <w:spacing w:before="60" w:after="60" w:line="240" w:lineRule="auto"/>
              <w:outlineLvl w:val="1"/>
              <w:rPr>
                <w:rFonts w:asciiTheme="minorHAnsi" w:hAnsiTheme="minorHAnsi"/>
                <w:sz w:val="24"/>
                <w:szCs w:val="24"/>
                <w:lang w:eastAsia="en-AU"/>
              </w:rPr>
            </w:pPr>
            <w:bookmarkStart w:id="0" w:name="_GoBack"/>
            <w:bookmarkEnd w:id="0"/>
          </w:p>
          <w:p w:rsidR="00A44552" w:rsidRDefault="00B542F2"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 stock of heritage places is obviously less in Australia compared to Europe yet valuable lessons can be learnt and successes implemented.  Viability of traditional skills is more likely if “tradies” can still qualify in and deliver general skills but have specialist trades and knowledge</w:t>
            </w:r>
            <w:r w:rsidR="00F605C6">
              <w:rPr>
                <w:rFonts w:asciiTheme="minorHAnsi" w:hAnsiTheme="minorHAnsi"/>
                <w:sz w:val="24"/>
                <w:szCs w:val="24"/>
                <w:lang w:eastAsia="en-AU"/>
              </w:rPr>
              <w:t xml:space="preserve"> in addition.</w:t>
            </w:r>
            <w:r>
              <w:rPr>
                <w:rFonts w:asciiTheme="minorHAnsi" w:hAnsiTheme="minorHAnsi"/>
                <w:sz w:val="24"/>
                <w:szCs w:val="24"/>
                <w:lang w:eastAsia="en-AU"/>
              </w:rPr>
              <w:t xml:space="preserve"> </w:t>
            </w: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3D3C13" w:rsidRDefault="003D3C13"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3D3C13" w:rsidRDefault="003D3C13"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F75" w:rsidRDefault="00A17F75" w:rsidP="00A60185">
      <w:pPr>
        <w:spacing w:after="0" w:line="240" w:lineRule="auto"/>
      </w:pPr>
      <w:r>
        <w:separator/>
      </w:r>
    </w:p>
  </w:endnote>
  <w:endnote w:type="continuationSeparator" w:id="0">
    <w:p w:rsidR="00A17F75" w:rsidRDefault="00A17F75"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17F75" w:rsidRDefault="00366157">
        <w:pPr>
          <w:pStyle w:val="Footer"/>
          <w:jc w:val="center"/>
        </w:pPr>
        <w:r>
          <w:fldChar w:fldCharType="begin"/>
        </w:r>
        <w:r w:rsidR="00F605C6">
          <w:instrText xml:space="preserve"> PAGE   \* MERGEFORMAT </w:instrText>
        </w:r>
        <w:r>
          <w:fldChar w:fldCharType="separate"/>
        </w:r>
        <w:r w:rsidR="00CE2853">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F75" w:rsidRDefault="00A17F75" w:rsidP="00A60185">
      <w:pPr>
        <w:spacing w:after="0" w:line="240" w:lineRule="auto"/>
      </w:pPr>
      <w:r>
        <w:separator/>
      </w:r>
    </w:p>
  </w:footnote>
  <w:footnote w:type="continuationSeparator" w:id="0">
    <w:p w:rsidR="00A17F75" w:rsidRDefault="00A17F75"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366157" w:rsidP="00E45765">
    <w:pPr>
      <w:pStyle w:val="Classification"/>
    </w:pPr>
    <w:r>
      <w:fldChar w:fldCharType="begin"/>
    </w:r>
    <w:r w:rsidR="00A17F75">
      <w:instrText xml:space="preserve"> DOCPROPERTY SecurityClassification \* MERGEFORMAT </w:instrText>
    </w:r>
    <w:r>
      <w:fldChar w:fldCharType="separate"/>
    </w:r>
    <w:r w:rsidR="00695FB4">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48B871CF"/>
    <w:multiLevelType w:val="multilevel"/>
    <w:tmpl w:val="E5E89F92"/>
    <w:numStyleLink w:val="BulletList"/>
  </w:abstractNum>
  <w:abstractNum w:abstractNumId="27">
    <w:nsid w:val="49016841"/>
    <w:multiLevelType w:val="multilevel"/>
    <w:tmpl w:val="E5E89F92"/>
    <w:numStyleLink w:val="BulletList"/>
  </w:abstractNum>
  <w:abstractNum w:abstractNumId="28">
    <w:nsid w:val="51A44175"/>
    <w:multiLevelType w:val="multilevel"/>
    <w:tmpl w:val="E5E89F92"/>
    <w:numStyleLink w:val="BulletList"/>
  </w:abstractNum>
  <w:abstractNum w:abstractNumId="29">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5456429"/>
    <w:multiLevelType w:val="multilevel"/>
    <w:tmpl w:val="E898CC72"/>
    <w:numStyleLink w:val="KeyPoints"/>
  </w:abstractNum>
  <w:abstractNum w:abstractNumId="31">
    <w:nsid w:val="672E0C2A"/>
    <w:multiLevelType w:val="multilevel"/>
    <w:tmpl w:val="E5E89F92"/>
    <w:numStyleLink w:val="BulletList"/>
  </w:abstractNum>
  <w:abstractNum w:abstractNumId="32">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A823B13"/>
    <w:multiLevelType w:val="multilevel"/>
    <w:tmpl w:val="E5E89F92"/>
    <w:numStyleLink w:val="BulletList"/>
  </w:abstractNum>
  <w:abstractNum w:abstractNumId="35">
    <w:nsid w:val="6DF2198A"/>
    <w:multiLevelType w:val="multilevel"/>
    <w:tmpl w:val="E5E89F92"/>
    <w:numStyleLink w:val="BulletList"/>
  </w:abstractNum>
  <w:abstractNum w:abstractNumId="36">
    <w:nsid w:val="6F032444"/>
    <w:multiLevelType w:val="multilevel"/>
    <w:tmpl w:val="E5E89F92"/>
    <w:numStyleLink w:val="BulletList"/>
  </w:abstractNum>
  <w:abstractNum w:abstractNumId="37">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2C700E0"/>
    <w:multiLevelType w:val="multilevel"/>
    <w:tmpl w:val="E898CC72"/>
    <w:numStyleLink w:val="KeyPoints"/>
  </w:abstractNum>
  <w:abstractNum w:abstractNumId="4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nsid w:val="788260C9"/>
    <w:multiLevelType w:val="multilevel"/>
    <w:tmpl w:val="E898CC72"/>
    <w:numStyleLink w:val="KeyPoints"/>
  </w:abstractNum>
  <w:abstractNum w:abstractNumId="42">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37D36"/>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D693B"/>
    <w:rsid w:val="001E1182"/>
    <w:rsid w:val="001E42BB"/>
    <w:rsid w:val="001E6AFB"/>
    <w:rsid w:val="00202C90"/>
    <w:rsid w:val="00210C0F"/>
    <w:rsid w:val="00213DE8"/>
    <w:rsid w:val="00216118"/>
    <w:rsid w:val="002209AB"/>
    <w:rsid w:val="002251E3"/>
    <w:rsid w:val="00227A95"/>
    <w:rsid w:val="00230D89"/>
    <w:rsid w:val="002316BD"/>
    <w:rsid w:val="002473FC"/>
    <w:rsid w:val="00252E3C"/>
    <w:rsid w:val="00253FD6"/>
    <w:rsid w:val="00262198"/>
    <w:rsid w:val="00267830"/>
    <w:rsid w:val="00271FAA"/>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66157"/>
    <w:rsid w:val="0037016E"/>
    <w:rsid w:val="00372908"/>
    <w:rsid w:val="00383020"/>
    <w:rsid w:val="00394D7E"/>
    <w:rsid w:val="003975FD"/>
    <w:rsid w:val="003B057D"/>
    <w:rsid w:val="003B60CC"/>
    <w:rsid w:val="003C1B25"/>
    <w:rsid w:val="003C2443"/>
    <w:rsid w:val="003C5DA3"/>
    <w:rsid w:val="003D3C13"/>
    <w:rsid w:val="003D4BCD"/>
    <w:rsid w:val="003D6C2B"/>
    <w:rsid w:val="003E01D8"/>
    <w:rsid w:val="003E2100"/>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3A92"/>
    <w:rsid w:val="004E3AA0"/>
    <w:rsid w:val="004F1AD9"/>
    <w:rsid w:val="004F6977"/>
    <w:rsid w:val="004F7169"/>
    <w:rsid w:val="00500D66"/>
    <w:rsid w:val="00512558"/>
    <w:rsid w:val="00514C8E"/>
    <w:rsid w:val="00531DBF"/>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5FB4"/>
    <w:rsid w:val="0069669C"/>
    <w:rsid w:val="006A1200"/>
    <w:rsid w:val="006A4F4E"/>
    <w:rsid w:val="006A6C23"/>
    <w:rsid w:val="006B14DB"/>
    <w:rsid w:val="006B21C4"/>
    <w:rsid w:val="006C4A1A"/>
    <w:rsid w:val="006D0393"/>
    <w:rsid w:val="006D1A83"/>
    <w:rsid w:val="006E1CFE"/>
    <w:rsid w:val="006E1FC6"/>
    <w:rsid w:val="006F10C4"/>
    <w:rsid w:val="006F40E9"/>
    <w:rsid w:val="006F5603"/>
    <w:rsid w:val="00701400"/>
    <w:rsid w:val="007037CF"/>
    <w:rsid w:val="0071123A"/>
    <w:rsid w:val="007167C0"/>
    <w:rsid w:val="00720481"/>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33CF7"/>
    <w:rsid w:val="00834CDE"/>
    <w:rsid w:val="00842464"/>
    <w:rsid w:val="00845601"/>
    <w:rsid w:val="00855C5C"/>
    <w:rsid w:val="0087578A"/>
    <w:rsid w:val="008A3C96"/>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0EEE"/>
    <w:rsid w:val="009B38BE"/>
    <w:rsid w:val="009C3D0F"/>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44552"/>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D56C8"/>
    <w:rsid w:val="00AD58F2"/>
    <w:rsid w:val="00AF32B4"/>
    <w:rsid w:val="00B0512A"/>
    <w:rsid w:val="00B0529F"/>
    <w:rsid w:val="00B06E9E"/>
    <w:rsid w:val="00B1418B"/>
    <w:rsid w:val="00B146BD"/>
    <w:rsid w:val="00B21195"/>
    <w:rsid w:val="00B24B22"/>
    <w:rsid w:val="00B25310"/>
    <w:rsid w:val="00B32F8F"/>
    <w:rsid w:val="00B542F2"/>
    <w:rsid w:val="00B54DE9"/>
    <w:rsid w:val="00B553EC"/>
    <w:rsid w:val="00B55E3F"/>
    <w:rsid w:val="00B7074F"/>
    <w:rsid w:val="00B93DD0"/>
    <w:rsid w:val="00B97732"/>
    <w:rsid w:val="00BA65A8"/>
    <w:rsid w:val="00BA6D19"/>
    <w:rsid w:val="00BA7461"/>
    <w:rsid w:val="00BA7DA9"/>
    <w:rsid w:val="00BC4215"/>
    <w:rsid w:val="00BD1A6F"/>
    <w:rsid w:val="00BD75D9"/>
    <w:rsid w:val="00BE6D3C"/>
    <w:rsid w:val="00BE7852"/>
    <w:rsid w:val="00BF7CEE"/>
    <w:rsid w:val="00C03880"/>
    <w:rsid w:val="00C135CF"/>
    <w:rsid w:val="00C2683F"/>
    <w:rsid w:val="00C30B40"/>
    <w:rsid w:val="00C3184D"/>
    <w:rsid w:val="00C4714E"/>
    <w:rsid w:val="00C51CCA"/>
    <w:rsid w:val="00C5504F"/>
    <w:rsid w:val="00C56567"/>
    <w:rsid w:val="00C57B55"/>
    <w:rsid w:val="00C63376"/>
    <w:rsid w:val="00C70D34"/>
    <w:rsid w:val="00C74F97"/>
    <w:rsid w:val="00C8276E"/>
    <w:rsid w:val="00C842AC"/>
    <w:rsid w:val="00C96688"/>
    <w:rsid w:val="00CA0723"/>
    <w:rsid w:val="00CB1690"/>
    <w:rsid w:val="00CB3CB1"/>
    <w:rsid w:val="00CC4365"/>
    <w:rsid w:val="00CD11B0"/>
    <w:rsid w:val="00CE2853"/>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92C2E"/>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24A8E"/>
    <w:rsid w:val="00E356E5"/>
    <w:rsid w:val="00E36F81"/>
    <w:rsid w:val="00E45765"/>
    <w:rsid w:val="00E5098C"/>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4FFD"/>
    <w:rsid w:val="00EE3146"/>
    <w:rsid w:val="00EF50BB"/>
    <w:rsid w:val="00EF53FF"/>
    <w:rsid w:val="00F00192"/>
    <w:rsid w:val="00F01DF6"/>
    <w:rsid w:val="00F02A0A"/>
    <w:rsid w:val="00F0340D"/>
    <w:rsid w:val="00F05609"/>
    <w:rsid w:val="00F059A6"/>
    <w:rsid w:val="00F23756"/>
    <w:rsid w:val="00F2523A"/>
    <w:rsid w:val="00F25FFA"/>
    <w:rsid w:val="00F310D2"/>
    <w:rsid w:val="00F36F3D"/>
    <w:rsid w:val="00F415A2"/>
    <w:rsid w:val="00F477BD"/>
    <w:rsid w:val="00F53491"/>
    <w:rsid w:val="00F605C6"/>
    <w:rsid w:val="00F639B6"/>
    <w:rsid w:val="00F65A1C"/>
    <w:rsid w:val="00F66F50"/>
    <w:rsid w:val="00F73382"/>
    <w:rsid w:val="00F82FF8"/>
    <w:rsid w:val="00F8330D"/>
    <w:rsid w:val="00F84305"/>
    <w:rsid w:val="00F8485C"/>
    <w:rsid w:val="00F8492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632</Words>
  <Characters>3604</Characters>
  <Application>Microsoft Office Word</Application>
  <DocSecurity>0</DocSecurity>
  <Lines>30</Lines>
  <Paragraphs>8</Paragraphs>
  <ScaleCrop>false</ScaleCrop>
  <LinksUpToDate>false</LinksUpToDate>
  <CharactersWithSpaces>4228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039-do-not-publish-contact-details.docx</dc:title>
  <dc:creator/>
  <cp:lastModifiedBy/>
  <cp:revision>1</cp:revision>
  <dcterms:created xsi:type="dcterms:W3CDTF">2014-10-29T03:46:00Z</dcterms:created>
  <dcterms:modified xsi:type="dcterms:W3CDTF">2014-10-29T03:46:00Z</dcterms:modified>
</cp:coreProperties>
</file>