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CE" w:rsidRPr="00550862" w:rsidRDefault="007A5CCE" w:rsidP="007A5CCE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7A5CCE" w:rsidRPr="00550862" w:rsidRDefault="007A5CCE" w:rsidP="007A5CCE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7A5CCE" w:rsidRPr="00550862" w:rsidRDefault="007A5CCE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Australian Heritage Strategy Submissions</w:t>
      </w:r>
    </w:p>
    <w:p w:rsidR="007A5CCE" w:rsidRPr="00550862" w:rsidRDefault="007A5CCE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Heritage Branch</w:t>
      </w:r>
    </w:p>
    <w:p w:rsidR="007A5CCE" w:rsidRPr="00550862" w:rsidRDefault="007A5CCE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Department of the Environment</w:t>
      </w:r>
    </w:p>
    <w:p w:rsidR="007A5CCE" w:rsidRPr="00550862" w:rsidRDefault="007A5CCE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GPO Box 787</w:t>
      </w:r>
    </w:p>
    <w:p w:rsidR="00C75539" w:rsidRPr="00550862" w:rsidRDefault="00C75539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 xml:space="preserve">Canberra ACT </w:t>
      </w:r>
      <w:r w:rsidR="007A5CCE" w:rsidRPr="00550862">
        <w:rPr>
          <w:rFonts w:asciiTheme="majorHAnsi" w:hAnsiTheme="majorHAnsi" w:cstheme="minorHAnsi"/>
          <w:sz w:val="22"/>
        </w:rPr>
        <w:t>2601</w:t>
      </w:r>
    </w:p>
    <w:p w:rsidR="00C75539" w:rsidRPr="00550862" w:rsidRDefault="00881731" w:rsidP="00C75539">
      <w:pPr>
        <w:spacing w:before="120" w:after="0" w:line="240" w:lineRule="auto"/>
        <w:rPr>
          <w:rFonts w:asciiTheme="majorHAnsi" w:hAnsiTheme="majorHAnsi" w:cstheme="minorHAnsi"/>
          <w:sz w:val="22"/>
        </w:rPr>
      </w:pPr>
      <w:hyperlink r:id="rId5" w:history="1">
        <w:r w:rsidR="00C75539" w:rsidRPr="00550862">
          <w:rPr>
            <w:rStyle w:val="Hyperlink"/>
            <w:rFonts w:asciiTheme="majorHAnsi" w:hAnsiTheme="majorHAnsi" w:cstheme="minorHAnsi"/>
            <w:color w:val="auto"/>
            <w:sz w:val="22"/>
          </w:rPr>
          <w:t>AusHeritageStrategy@environment.gov.au</w:t>
        </w:r>
      </w:hyperlink>
      <w:r w:rsidR="00C75539" w:rsidRPr="00550862">
        <w:rPr>
          <w:rFonts w:asciiTheme="majorHAnsi" w:hAnsiTheme="majorHAnsi" w:cstheme="minorHAnsi"/>
          <w:sz w:val="22"/>
        </w:rPr>
        <w:t xml:space="preserve"> </w:t>
      </w:r>
    </w:p>
    <w:p w:rsidR="00C75539" w:rsidRPr="00550862" w:rsidRDefault="00C75539" w:rsidP="00C75539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C75539" w:rsidRPr="00550862" w:rsidRDefault="00C75539" w:rsidP="007A5CCE">
      <w:pPr>
        <w:spacing w:after="0" w:line="240" w:lineRule="auto"/>
        <w:ind w:left="720"/>
        <w:rPr>
          <w:rFonts w:asciiTheme="majorHAnsi" w:hAnsiTheme="majorHAnsi" w:cstheme="minorHAnsi"/>
          <w:sz w:val="22"/>
        </w:rPr>
      </w:pPr>
    </w:p>
    <w:p w:rsidR="00C75539" w:rsidRPr="00550862" w:rsidRDefault="00C75539" w:rsidP="00C75539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2 June 14</w:t>
      </w:r>
    </w:p>
    <w:p w:rsidR="00C75539" w:rsidRPr="00550862" w:rsidRDefault="00C75539" w:rsidP="00C75539">
      <w:pPr>
        <w:rPr>
          <w:rFonts w:asciiTheme="majorHAnsi" w:hAnsiTheme="majorHAnsi" w:cstheme="minorHAnsi"/>
          <w:b/>
          <w:sz w:val="22"/>
          <w:u w:val="single"/>
        </w:rPr>
      </w:pPr>
    </w:p>
    <w:p w:rsidR="00C75539" w:rsidRPr="00550862" w:rsidRDefault="00C75539" w:rsidP="00D05D50">
      <w:pPr>
        <w:pStyle w:val="Default"/>
        <w:spacing w:after="52"/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  <w:r w:rsidRPr="00550862">
        <w:rPr>
          <w:rFonts w:asciiTheme="majorHAnsi" w:hAnsiTheme="majorHAnsi" w:cstheme="minorHAnsi"/>
          <w:b/>
          <w:color w:val="auto"/>
          <w:sz w:val="22"/>
          <w:u w:val="single"/>
        </w:rPr>
        <w:t xml:space="preserve">Subject:  Submission to the STRATEGY FOR AUSTRALIA’S HERITAGE (DRAFT) – APRIL 2014 in support of inclusion on the </w:t>
      </w:r>
      <w:r w:rsidRPr="00550862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World Heritage listing of the Budj Bim Cultural Landscape.  </w:t>
      </w:r>
    </w:p>
    <w:p w:rsidR="00C75539" w:rsidRPr="00550862" w:rsidRDefault="00C75539" w:rsidP="00D05D50">
      <w:pPr>
        <w:rPr>
          <w:rFonts w:asciiTheme="majorHAnsi" w:hAnsiTheme="majorHAnsi" w:cstheme="minorHAnsi"/>
          <w:b/>
          <w:sz w:val="22"/>
        </w:rPr>
      </w:pPr>
    </w:p>
    <w:p w:rsidR="00D05D50" w:rsidRPr="00550862" w:rsidRDefault="00FA51FF" w:rsidP="00D05D50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 xml:space="preserve">To whom it may concern </w:t>
      </w:r>
    </w:p>
    <w:p w:rsidR="00D05D50" w:rsidRPr="00550862" w:rsidRDefault="00D05D50" w:rsidP="00D05D50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3E4C57" w:rsidRPr="00550862" w:rsidRDefault="003E4C57" w:rsidP="003E4C57">
      <w:pPr>
        <w:pStyle w:val="Default"/>
        <w:spacing w:after="52"/>
        <w:rPr>
          <w:rFonts w:asciiTheme="majorHAnsi" w:hAnsiTheme="majorHAnsi" w:cstheme="minorHAnsi"/>
          <w:color w:val="auto"/>
          <w:sz w:val="22"/>
          <w:szCs w:val="22"/>
        </w:rPr>
      </w:pPr>
      <w:r w:rsidRPr="00550862">
        <w:rPr>
          <w:rFonts w:asciiTheme="majorHAnsi" w:hAnsiTheme="majorHAnsi" w:cstheme="minorHAnsi"/>
          <w:sz w:val="22"/>
        </w:rPr>
        <w:t xml:space="preserve">For many years Gunditjmara traditional owners and their supporters and partners have indicated to the Commonwealth government that they are actively pursuing a World Heritage nomination for the Budj Bim lava flow.  </w:t>
      </w:r>
    </w:p>
    <w:p w:rsidR="00252869" w:rsidRPr="00550862" w:rsidRDefault="00252869" w:rsidP="00D05D50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970D5D" w:rsidRPr="00550862" w:rsidRDefault="003E4C57" w:rsidP="003E4C57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To that end it</w:t>
      </w:r>
      <w:r w:rsidR="00D05D50" w:rsidRPr="00550862">
        <w:rPr>
          <w:rFonts w:asciiTheme="majorHAnsi" w:hAnsiTheme="majorHAnsi" w:cstheme="minorHAnsi"/>
          <w:sz w:val="22"/>
        </w:rPr>
        <w:t xml:space="preserve"> was </w:t>
      </w:r>
      <w:r w:rsidRPr="00550862">
        <w:rPr>
          <w:rFonts w:asciiTheme="majorHAnsi" w:hAnsiTheme="majorHAnsi" w:cstheme="minorHAnsi"/>
          <w:sz w:val="22"/>
        </w:rPr>
        <w:t xml:space="preserve">extremely disappointing to learn of </w:t>
      </w:r>
      <w:r w:rsidR="00970D5D" w:rsidRPr="00550862">
        <w:rPr>
          <w:rFonts w:asciiTheme="majorHAnsi" w:hAnsiTheme="majorHAnsi" w:cstheme="minorHAnsi"/>
          <w:sz w:val="22"/>
        </w:rPr>
        <w:t xml:space="preserve">its </w:t>
      </w:r>
      <w:r w:rsidR="00D05D50" w:rsidRPr="00550862">
        <w:rPr>
          <w:rFonts w:asciiTheme="majorHAnsi" w:hAnsiTheme="majorHAnsi" w:cstheme="minorHAnsi"/>
          <w:sz w:val="22"/>
        </w:rPr>
        <w:t xml:space="preserve">omission in Section 1 (c) of the draft Strategy </w:t>
      </w:r>
      <w:r w:rsidR="00252869" w:rsidRPr="00550862">
        <w:rPr>
          <w:rFonts w:asciiTheme="majorHAnsi" w:hAnsiTheme="majorHAnsi" w:cstheme="minorHAnsi"/>
          <w:sz w:val="22"/>
        </w:rPr>
        <w:t xml:space="preserve">that </w:t>
      </w:r>
      <w:r w:rsidR="00D05D50" w:rsidRPr="00550862">
        <w:rPr>
          <w:rFonts w:asciiTheme="majorHAnsi" w:hAnsiTheme="majorHAnsi" w:cstheme="minorHAnsi"/>
          <w:sz w:val="22"/>
        </w:rPr>
        <w:t>aims to “pursue greater recognition and protection of our natural and cultural history, particularly our Indigenous cultural heritage”</w:t>
      </w:r>
      <w:r w:rsidRPr="00550862">
        <w:rPr>
          <w:rFonts w:asciiTheme="majorHAnsi" w:hAnsiTheme="majorHAnsi" w:cstheme="minorHAnsi"/>
          <w:sz w:val="22"/>
        </w:rPr>
        <w:t>.</w:t>
      </w:r>
    </w:p>
    <w:p w:rsidR="00970D5D" w:rsidRPr="00550862" w:rsidRDefault="00970D5D" w:rsidP="003E4C57">
      <w:pPr>
        <w:spacing w:after="0" w:line="240" w:lineRule="auto"/>
        <w:rPr>
          <w:rFonts w:asciiTheme="majorHAnsi" w:hAnsiTheme="majorHAnsi" w:cstheme="minorHAnsi"/>
          <w:sz w:val="22"/>
        </w:rPr>
      </w:pPr>
    </w:p>
    <w:p w:rsidR="00252869" w:rsidRPr="00550862" w:rsidRDefault="000A543A" w:rsidP="003E4C57">
      <w:p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 xml:space="preserve">As </w:t>
      </w:r>
      <w:r w:rsidR="00D87040">
        <w:rPr>
          <w:rFonts w:asciiTheme="majorHAnsi" w:hAnsiTheme="majorHAnsi" w:cstheme="minorHAnsi"/>
          <w:sz w:val="22"/>
        </w:rPr>
        <w:t xml:space="preserve">an </w:t>
      </w:r>
      <w:r w:rsidR="00AC5073" w:rsidRPr="00550862">
        <w:rPr>
          <w:rFonts w:asciiTheme="majorHAnsi" w:hAnsiTheme="majorHAnsi" w:cstheme="minorHAnsi"/>
          <w:sz w:val="22"/>
        </w:rPr>
        <w:t xml:space="preserve">active </w:t>
      </w:r>
      <w:r w:rsidR="003E4C57" w:rsidRPr="00550862">
        <w:rPr>
          <w:rFonts w:asciiTheme="majorHAnsi" w:hAnsiTheme="majorHAnsi" w:cstheme="minorHAnsi"/>
          <w:sz w:val="22"/>
        </w:rPr>
        <w:t xml:space="preserve">participant </w:t>
      </w:r>
      <w:r w:rsidR="00550862" w:rsidRPr="00550862">
        <w:rPr>
          <w:rFonts w:asciiTheme="majorHAnsi" w:hAnsiTheme="majorHAnsi" w:cstheme="minorHAnsi"/>
          <w:sz w:val="22"/>
        </w:rPr>
        <w:t>i</w:t>
      </w:r>
      <w:r w:rsidR="00AC5073" w:rsidRPr="00550862">
        <w:rPr>
          <w:rFonts w:asciiTheme="majorHAnsi" w:hAnsiTheme="majorHAnsi" w:cstheme="minorHAnsi"/>
          <w:sz w:val="22"/>
        </w:rPr>
        <w:t xml:space="preserve">n the </w:t>
      </w:r>
      <w:r w:rsidR="00252869" w:rsidRPr="00550862">
        <w:rPr>
          <w:rFonts w:asciiTheme="majorHAnsi" w:hAnsiTheme="majorHAnsi" w:cstheme="minorHAnsi"/>
          <w:sz w:val="22"/>
        </w:rPr>
        <w:t xml:space="preserve">Gunditjmara </w:t>
      </w:r>
      <w:r w:rsidR="00B908FB" w:rsidRPr="00550862">
        <w:rPr>
          <w:rFonts w:asciiTheme="majorHAnsi" w:hAnsiTheme="majorHAnsi" w:cstheme="minorHAnsi"/>
          <w:sz w:val="22"/>
        </w:rPr>
        <w:t xml:space="preserve">Lake Condah Sustainability project </w:t>
      </w:r>
      <w:r w:rsidR="00AC5073" w:rsidRPr="00550862">
        <w:rPr>
          <w:rFonts w:asciiTheme="majorHAnsi" w:hAnsiTheme="majorHAnsi" w:cstheme="minorHAnsi"/>
          <w:sz w:val="22"/>
        </w:rPr>
        <w:t>meetings I firmly believe that the</w:t>
      </w:r>
      <w:r w:rsidR="00252869" w:rsidRPr="00550862">
        <w:rPr>
          <w:rFonts w:asciiTheme="majorHAnsi" w:hAnsiTheme="majorHAnsi" w:cstheme="minorHAnsi"/>
          <w:sz w:val="22"/>
        </w:rPr>
        <w:t xml:space="preserve"> proposed actions in the Heritage Strategy should also include the Budj Bim Cultural Landscape and </w:t>
      </w:r>
      <w:proofErr w:type="gramStart"/>
      <w:r w:rsidR="00252869" w:rsidRPr="00550862">
        <w:rPr>
          <w:rFonts w:asciiTheme="majorHAnsi" w:hAnsiTheme="majorHAnsi" w:cstheme="minorHAnsi"/>
          <w:sz w:val="22"/>
        </w:rPr>
        <w:t>must</w:t>
      </w:r>
      <w:proofErr w:type="gramEnd"/>
      <w:r w:rsidR="00252869" w:rsidRPr="00550862">
        <w:rPr>
          <w:rFonts w:asciiTheme="majorHAnsi" w:hAnsiTheme="majorHAnsi" w:cstheme="minorHAnsi"/>
          <w:sz w:val="22"/>
        </w:rPr>
        <w:t xml:space="preserve"> list the following;</w:t>
      </w:r>
    </w:p>
    <w:p w:rsidR="00252869" w:rsidRPr="00550862" w:rsidRDefault="00252869" w:rsidP="00252869">
      <w:pPr>
        <w:pStyle w:val="Default"/>
        <w:numPr>
          <w:ilvl w:val="0"/>
          <w:numId w:val="1"/>
        </w:numPr>
        <w:spacing w:after="52"/>
        <w:rPr>
          <w:rFonts w:asciiTheme="majorHAnsi" w:hAnsiTheme="majorHAnsi" w:cstheme="minorHAnsi"/>
          <w:color w:val="auto"/>
          <w:sz w:val="22"/>
          <w:szCs w:val="22"/>
        </w:rPr>
      </w:pPr>
      <w:r w:rsidRPr="00550862">
        <w:rPr>
          <w:rFonts w:asciiTheme="majorHAnsi" w:hAnsiTheme="majorHAnsi" w:cstheme="minorHAnsi"/>
          <w:color w:val="auto"/>
          <w:sz w:val="22"/>
          <w:szCs w:val="22"/>
        </w:rPr>
        <w:t>Identify priority sites for assessment for potential World Heritage listing, including significant elements of Cape York Peninsula with Indigenous support, Sydney’s Royal National Park and the Budj Bim Cultural Landscape.</w:t>
      </w:r>
    </w:p>
    <w:p w:rsidR="00D05D50" w:rsidRPr="00550862" w:rsidRDefault="00252869" w:rsidP="00252869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theme="minorHAnsi"/>
          <w:sz w:val="22"/>
        </w:rPr>
      </w:pPr>
      <w:r w:rsidRPr="00550862">
        <w:rPr>
          <w:rFonts w:asciiTheme="majorHAnsi" w:hAnsiTheme="majorHAnsi" w:cstheme="minorHAnsi"/>
          <w:sz w:val="22"/>
        </w:rPr>
        <w:t>Work with the Victorian Government to pursue World Heritage listing for the Budj Bim Cultural Landscape</w:t>
      </w:r>
      <w:r w:rsidR="00D87040">
        <w:rPr>
          <w:rFonts w:asciiTheme="majorHAnsi" w:hAnsiTheme="majorHAnsi" w:cstheme="minorHAnsi"/>
          <w:sz w:val="22"/>
        </w:rPr>
        <w:t>.</w:t>
      </w:r>
    </w:p>
    <w:p w:rsidR="00D87040" w:rsidRDefault="00D87040" w:rsidP="00550862">
      <w:pPr>
        <w:pStyle w:val="Default"/>
        <w:rPr>
          <w:rFonts w:asciiTheme="majorHAnsi" w:hAnsiTheme="majorHAnsi" w:cstheme="minorHAnsi"/>
          <w:sz w:val="22"/>
        </w:rPr>
      </w:pPr>
    </w:p>
    <w:p w:rsidR="007078E2" w:rsidRDefault="007078E2" w:rsidP="007078E2">
      <w:pPr>
        <w:rPr>
          <w:rFonts w:asciiTheme="majorHAnsi" w:hAnsiTheme="majorHAnsi" w:cs="PT Sans"/>
          <w:sz w:val="22"/>
          <w:szCs w:val="26"/>
          <w:lang w:val="en-US"/>
        </w:rPr>
      </w:pPr>
      <w:r>
        <w:rPr>
          <w:rFonts w:asciiTheme="majorHAnsi" w:hAnsiTheme="majorHAnsi" w:cs="PT Sans"/>
          <w:sz w:val="22"/>
          <w:szCs w:val="26"/>
          <w:lang w:val="en-US"/>
        </w:rPr>
        <w:t>In Sardinia the Su Nuraxi Barumini is the best known N</w:t>
      </w:r>
      <w:r w:rsidR="00466170">
        <w:rPr>
          <w:rFonts w:asciiTheme="majorHAnsi" w:hAnsiTheme="majorHAnsi" w:cs="PT Sans"/>
          <w:sz w:val="22"/>
          <w:szCs w:val="26"/>
          <w:lang w:val="en-US"/>
        </w:rPr>
        <w:t>uraghic site in the world. E</w:t>
      </w:r>
      <w:r w:rsidR="00466170" w:rsidRPr="00550862">
        <w:rPr>
          <w:rFonts w:asciiTheme="majorHAnsi" w:hAnsiTheme="majorHAnsi" w:cs="PT Sans"/>
          <w:sz w:val="22"/>
          <w:szCs w:val="26"/>
          <w:lang w:val="en-US"/>
        </w:rPr>
        <w:t>rected in 1470 B.C</w:t>
      </w:r>
      <w:r w:rsidR="00466170" w:rsidRPr="007078E2">
        <w:rPr>
          <w:rFonts w:asciiTheme="majorHAnsi" w:hAnsiTheme="majorHAnsi" w:cs="PT Sans"/>
          <w:bCs/>
          <w:sz w:val="22"/>
          <w:szCs w:val="26"/>
          <w:lang w:val="en-US"/>
        </w:rPr>
        <w:t xml:space="preserve"> </w:t>
      </w:r>
      <w:r w:rsidR="00797D08">
        <w:rPr>
          <w:rFonts w:asciiTheme="majorHAnsi" w:hAnsiTheme="majorHAnsi" w:cs="PT Sans"/>
          <w:sz w:val="22"/>
          <w:szCs w:val="26"/>
          <w:lang w:val="en-US"/>
        </w:rPr>
        <w:t>it</w:t>
      </w:r>
      <w:r w:rsidR="00466170">
        <w:rPr>
          <w:rFonts w:asciiTheme="majorHAnsi" w:hAnsiTheme="majorHAnsi" w:cs="PT Sans"/>
          <w:sz w:val="22"/>
          <w:szCs w:val="26"/>
          <w:lang w:val="en-US"/>
        </w:rPr>
        <w:t xml:space="preserve"> </w:t>
      </w:r>
      <w:r w:rsidR="00797D08">
        <w:rPr>
          <w:rFonts w:asciiTheme="majorHAnsi" w:hAnsiTheme="majorHAnsi" w:cs="PT Sans"/>
          <w:sz w:val="22"/>
          <w:szCs w:val="26"/>
          <w:lang w:val="en-US"/>
        </w:rPr>
        <w:t xml:space="preserve">was </w:t>
      </w:r>
      <w:r w:rsidR="00466170">
        <w:rPr>
          <w:rFonts w:asciiTheme="majorHAnsi" w:hAnsiTheme="majorHAnsi" w:cs="PT Sans"/>
          <w:sz w:val="22"/>
          <w:szCs w:val="26"/>
          <w:lang w:val="en-US"/>
        </w:rPr>
        <w:t>l</w:t>
      </w:r>
      <w:r>
        <w:rPr>
          <w:rFonts w:asciiTheme="majorHAnsi" w:hAnsiTheme="majorHAnsi" w:cs="PT Sans"/>
          <w:sz w:val="22"/>
          <w:szCs w:val="26"/>
          <w:lang w:val="en-US"/>
        </w:rPr>
        <w:t xml:space="preserve">isted in 1997 on the </w:t>
      </w:r>
      <w:r w:rsidRPr="00550862">
        <w:rPr>
          <w:rFonts w:asciiTheme="majorHAnsi" w:hAnsiTheme="majorHAnsi" w:cs="PT Sans"/>
          <w:sz w:val="22"/>
          <w:szCs w:val="26"/>
          <w:lang w:val="en-US"/>
        </w:rPr>
        <w:t xml:space="preserve">UNESCO </w:t>
      </w:r>
      <w:r>
        <w:rPr>
          <w:rFonts w:asciiTheme="majorHAnsi" w:hAnsiTheme="majorHAnsi" w:cs="PT Sans"/>
          <w:sz w:val="22"/>
          <w:szCs w:val="26"/>
          <w:lang w:val="en-US"/>
        </w:rPr>
        <w:t xml:space="preserve">World Heritage Register. </w:t>
      </w:r>
      <w:r w:rsidR="00E432E6">
        <w:rPr>
          <w:rFonts w:asciiTheme="majorHAnsi" w:hAnsiTheme="majorHAnsi" w:cs="PT Sans"/>
          <w:bCs/>
          <w:sz w:val="22"/>
          <w:szCs w:val="26"/>
          <w:lang w:val="en-US"/>
        </w:rPr>
        <w:t>T</w:t>
      </w:r>
      <w:r w:rsidRPr="007078E2">
        <w:rPr>
          <w:rFonts w:asciiTheme="majorHAnsi" w:hAnsiTheme="majorHAnsi" w:cs="PT Sans"/>
          <w:bCs/>
          <w:sz w:val="22"/>
          <w:szCs w:val="26"/>
          <w:lang w:val="en-US"/>
        </w:rPr>
        <w:t>he</w:t>
      </w:r>
      <w:r>
        <w:rPr>
          <w:rFonts w:asciiTheme="majorHAnsi" w:hAnsiTheme="majorHAnsi" w:cs="PT Sans"/>
          <w:sz w:val="22"/>
          <w:szCs w:val="26"/>
          <w:lang w:val="en-US"/>
        </w:rPr>
        <w:t xml:space="preserve"> N</w:t>
      </w:r>
      <w:r w:rsidRPr="007078E2">
        <w:rPr>
          <w:rFonts w:asciiTheme="majorHAnsi" w:hAnsiTheme="majorHAnsi" w:cs="PT Sans"/>
          <w:sz w:val="22"/>
          <w:szCs w:val="26"/>
          <w:lang w:val="en-US"/>
        </w:rPr>
        <w:t>uragh</w:t>
      </w:r>
      <w:r>
        <w:rPr>
          <w:rFonts w:asciiTheme="majorHAnsi" w:hAnsiTheme="majorHAnsi" w:cs="PT Sans"/>
          <w:sz w:val="22"/>
          <w:szCs w:val="26"/>
          <w:lang w:val="en-US"/>
        </w:rPr>
        <w:t>e</w:t>
      </w:r>
      <w:r w:rsidRPr="00550862">
        <w:rPr>
          <w:rFonts w:asciiTheme="majorHAnsi" w:hAnsiTheme="majorHAnsi" w:cs="PT Sans"/>
          <w:sz w:val="22"/>
          <w:szCs w:val="26"/>
          <w:lang w:val="en-US"/>
        </w:rPr>
        <w:t xml:space="preserve"> </w:t>
      </w:r>
      <w:r>
        <w:rPr>
          <w:rFonts w:asciiTheme="majorHAnsi" w:hAnsiTheme="majorHAnsi" w:cs="PT Sans"/>
          <w:sz w:val="22"/>
          <w:szCs w:val="26"/>
          <w:lang w:val="en-US"/>
        </w:rPr>
        <w:t xml:space="preserve">consists of a </w:t>
      </w:r>
      <w:r w:rsidRPr="00550862">
        <w:rPr>
          <w:rFonts w:asciiTheme="majorHAnsi" w:hAnsiTheme="majorHAnsi" w:cs="PT Sans"/>
          <w:sz w:val="22"/>
          <w:szCs w:val="26"/>
          <w:lang w:val="en-US"/>
        </w:rPr>
        <w:t xml:space="preserve">complex </w:t>
      </w:r>
      <w:r>
        <w:rPr>
          <w:rFonts w:asciiTheme="majorHAnsi" w:hAnsiTheme="majorHAnsi" w:cs="PT Sans"/>
          <w:sz w:val="22"/>
          <w:szCs w:val="26"/>
          <w:lang w:val="en-US"/>
        </w:rPr>
        <w:t xml:space="preserve">dry stone </w:t>
      </w:r>
      <w:r w:rsidRPr="00550862">
        <w:rPr>
          <w:rFonts w:asciiTheme="majorHAnsi" w:hAnsiTheme="majorHAnsi" w:cs="PT Sans"/>
          <w:sz w:val="22"/>
          <w:szCs w:val="26"/>
          <w:lang w:val="en-US"/>
        </w:rPr>
        <w:t xml:space="preserve">structure </w:t>
      </w:r>
      <w:r>
        <w:rPr>
          <w:rFonts w:asciiTheme="majorHAnsi" w:hAnsiTheme="majorHAnsi" w:cs="PT Sans"/>
          <w:sz w:val="22"/>
          <w:szCs w:val="26"/>
          <w:lang w:val="en-US"/>
        </w:rPr>
        <w:t>with</w:t>
      </w:r>
      <w:r w:rsidRPr="00550862">
        <w:rPr>
          <w:rFonts w:asciiTheme="majorHAnsi" w:hAnsiTheme="majorHAnsi" w:cs="PT Sans"/>
          <w:sz w:val="22"/>
          <w:szCs w:val="26"/>
          <w:lang w:val="en-US"/>
        </w:rPr>
        <w:t xml:space="preserve"> four angular towers connected by a cur</w:t>
      </w:r>
      <w:r>
        <w:rPr>
          <w:rFonts w:asciiTheme="majorHAnsi" w:hAnsiTheme="majorHAnsi" w:cs="PT Sans"/>
          <w:sz w:val="22"/>
          <w:szCs w:val="26"/>
          <w:lang w:val="en-US"/>
        </w:rPr>
        <w:t>tain wall around the main tower.</w:t>
      </w:r>
    </w:p>
    <w:p w:rsidR="00445647" w:rsidRDefault="007078E2" w:rsidP="007078E2">
      <w:pPr>
        <w:rPr>
          <w:rFonts w:asciiTheme="majorHAnsi" w:hAnsiTheme="majorHAnsi"/>
          <w:bCs/>
          <w:sz w:val="22"/>
          <w:szCs w:val="23"/>
        </w:rPr>
      </w:pPr>
      <w:r w:rsidRPr="00550862">
        <w:rPr>
          <w:rFonts w:asciiTheme="majorHAnsi" w:hAnsiTheme="majorHAnsi"/>
          <w:sz w:val="22"/>
        </w:rPr>
        <w:t xml:space="preserve">The dry stone structures and sophisticated aquaculture system of </w:t>
      </w:r>
      <w:r w:rsidRPr="00550862">
        <w:rPr>
          <w:rFonts w:asciiTheme="majorHAnsi" w:hAnsiTheme="majorHAnsi" w:cstheme="minorHAnsi"/>
          <w:sz w:val="22"/>
        </w:rPr>
        <w:t>B</w:t>
      </w:r>
      <w:r>
        <w:rPr>
          <w:rFonts w:asciiTheme="majorHAnsi" w:hAnsiTheme="majorHAnsi" w:cstheme="minorHAnsi"/>
          <w:sz w:val="22"/>
        </w:rPr>
        <w:t xml:space="preserve">udj Bim </w:t>
      </w:r>
      <w:r w:rsidR="00797D08">
        <w:rPr>
          <w:rFonts w:asciiTheme="majorHAnsi" w:hAnsiTheme="majorHAnsi" w:cstheme="minorHAnsi"/>
          <w:sz w:val="22"/>
        </w:rPr>
        <w:t xml:space="preserve">lava flow are also </w:t>
      </w:r>
      <w:r w:rsidR="00797D08">
        <w:rPr>
          <w:rFonts w:asciiTheme="majorHAnsi" w:hAnsiTheme="majorHAnsi"/>
          <w:sz w:val="22"/>
        </w:rPr>
        <w:t>worthy of</w:t>
      </w:r>
      <w:r w:rsidR="00797D08" w:rsidRPr="00797D08">
        <w:rPr>
          <w:rFonts w:asciiTheme="majorHAnsi" w:hAnsiTheme="majorHAnsi" w:cs="PT Sans"/>
          <w:sz w:val="22"/>
          <w:szCs w:val="26"/>
          <w:lang w:val="en-US"/>
        </w:rPr>
        <w:t xml:space="preserve"> </w:t>
      </w:r>
      <w:r w:rsidR="00797D08">
        <w:rPr>
          <w:rFonts w:asciiTheme="majorHAnsi" w:hAnsiTheme="majorHAnsi" w:cs="PT Sans"/>
          <w:sz w:val="22"/>
          <w:szCs w:val="26"/>
          <w:lang w:val="en-US"/>
        </w:rPr>
        <w:t>World Heritage Register inclusion</w:t>
      </w:r>
      <w:r w:rsidR="00797D08">
        <w:rPr>
          <w:rFonts w:asciiTheme="majorHAnsi" w:hAnsiTheme="majorHAnsi"/>
          <w:sz w:val="22"/>
        </w:rPr>
        <w:t>.</w:t>
      </w:r>
      <w:r>
        <w:rPr>
          <w:rFonts w:asciiTheme="majorHAnsi" w:hAnsiTheme="majorHAnsi"/>
          <w:sz w:val="22"/>
        </w:rPr>
        <w:t xml:space="preserve"> This </w:t>
      </w:r>
      <w:r w:rsidR="00797D08">
        <w:rPr>
          <w:rFonts w:asciiTheme="majorHAnsi" w:hAnsiTheme="majorHAnsi"/>
          <w:sz w:val="22"/>
        </w:rPr>
        <w:t>was e</w:t>
      </w:r>
      <w:r>
        <w:rPr>
          <w:rFonts w:asciiTheme="majorHAnsi" w:hAnsiTheme="majorHAnsi"/>
          <w:sz w:val="22"/>
        </w:rPr>
        <w:t>videnced</w:t>
      </w:r>
      <w:r w:rsidRPr="00550862">
        <w:rPr>
          <w:rFonts w:asciiTheme="majorHAnsi" w:hAnsiTheme="majorHAnsi"/>
          <w:sz w:val="22"/>
        </w:rPr>
        <w:t xml:space="preserve"> by </w:t>
      </w:r>
      <w:r w:rsidR="00797D08">
        <w:rPr>
          <w:rFonts w:asciiTheme="majorHAnsi" w:hAnsiTheme="majorHAnsi"/>
          <w:sz w:val="22"/>
        </w:rPr>
        <w:t xml:space="preserve">discussions regarding </w:t>
      </w:r>
      <w:r>
        <w:rPr>
          <w:rFonts w:asciiTheme="majorHAnsi" w:hAnsiTheme="majorHAnsi"/>
          <w:sz w:val="22"/>
        </w:rPr>
        <w:t xml:space="preserve">the </w:t>
      </w:r>
      <w:r w:rsidR="00797D08">
        <w:rPr>
          <w:rFonts w:asciiTheme="majorHAnsi" w:hAnsiTheme="majorHAnsi"/>
          <w:sz w:val="22"/>
        </w:rPr>
        <w:t xml:space="preserve">uniqueness of the dry stone fish traps in </w:t>
      </w:r>
      <w:r>
        <w:rPr>
          <w:rFonts w:asciiTheme="majorHAnsi" w:hAnsiTheme="majorHAnsi"/>
          <w:sz w:val="22"/>
        </w:rPr>
        <w:t xml:space="preserve">response to </w:t>
      </w:r>
      <w:r w:rsidR="00797D08">
        <w:rPr>
          <w:rFonts w:asciiTheme="majorHAnsi" w:hAnsiTheme="majorHAnsi"/>
          <w:sz w:val="22"/>
        </w:rPr>
        <w:t>the</w:t>
      </w:r>
      <w:r w:rsidRPr="00550862">
        <w:rPr>
          <w:rFonts w:asciiTheme="majorHAnsi" w:hAnsiTheme="majorHAnsi"/>
          <w:sz w:val="22"/>
        </w:rPr>
        <w:t xml:space="preserve"> paper I presented </w:t>
      </w:r>
      <w:r w:rsidR="00797D08">
        <w:rPr>
          <w:rFonts w:asciiTheme="majorHAnsi" w:hAnsiTheme="majorHAnsi"/>
          <w:sz w:val="22"/>
        </w:rPr>
        <w:t xml:space="preserve">on the topic </w:t>
      </w:r>
      <w:r w:rsidRPr="00550862">
        <w:rPr>
          <w:rFonts w:asciiTheme="majorHAnsi" w:hAnsiTheme="majorHAnsi"/>
          <w:sz w:val="22"/>
        </w:rPr>
        <w:t xml:space="preserve">at the </w:t>
      </w:r>
      <w:r>
        <w:rPr>
          <w:rFonts w:asciiTheme="majorHAnsi" w:hAnsiTheme="majorHAnsi"/>
          <w:bCs/>
          <w:sz w:val="22"/>
          <w:szCs w:val="23"/>
        </w:rPr>
        <w:t>Société Scientifique I</w:t>
      </w:r>
      <w:r w:rsidRPr="00550862">
        <w:rPr>
          <w:rFonts w:asciiTheme="majorHAnsi" w:hAnsiTheme="majorHAnsi"/>
          <w:bCs/>
          <w:sz w:val="22"/>
          <w:szCs w:val="23"/>
        </w:rPr>
        <w:t xml:space="preserve">nternationale pour l’étude pluridisciplinaire de la Pierre Sèche [SPS] </w:t>
      </w:r>
      <w:r w:rsidR="00445647">
        <w:rPr>
          <w:rFonts w:asciiTheme="majorHAnsi" w:hAnsiTheme="majorHAnsi"/>
          <w:bCs/>
          <w:sz w:val="22"/>
          <w:szCs w:val="23"/>
        </w:rPr>
        <w:t xml:space="preserve">Congress </w:t>
      </w:r>
      <w:r>
        <w:rPr>
          <w:rFonts w:asciiTheme="majorHAnsi" w:hAnsiTheme="majorHAnsi"/>
          <w:bCs/>
          <w:sz w:val="22"/>
          <w:szCs w:val="23"/>
        </w:rPr>
        <w:t xml:space="preserve">in the </w:t>
      </w:r>
      <w:r w:rsidRPr="00550862">
        <w:rPr>
          <w:rFonts w:asciiTheme="majorHAnsi" w:hAnsiTheme="majorHAnsi"/>
          <w:bCs/>
          <w:sz w:val="22"/>
          <w:szCs w:val="23"/>
        </w:rPr>
        <w:t>Province of Ogliastra</w:t>
      </w:r>
      <w:r>
        <w:rPr>
          <w:rFonts w:asciiTheme="majorHAnsi" w:hAnsiTheme="majorHAnsi"/>
          <w:bCs/>
          <w:sz w:val="22"/>
          <w:szCs w:val="23"/>
        </w:rPr>
        <w:t>, Sardinia in 2012</w:t>
      </w:r>
      <w:r w:rsidR="00445647">
        <w:rPr>
          <w:rFonts w:asciiTheme="majorHAnsi" w:hAnsiTheme="majorHAnsi"/>
          <w:bCs/>
          <w:sz w:val="22"/>
          <w:szCs w:val="23"/>
        </w:rPr>
        <w:t>.</w:t>
      </w:r>
    </w:p>
    <w:p w:rsidR="007078E2" w:rsidRPr="00445647" w:rsidRDefault="00445647" w:rsidP="007078E2">
      <w:pPr>
        <w:rPr>
          <w:rFonts w:asciiTheme="majorHAnsi" w:hAnsiTheme="majorHAnsi" w:cs="PT Sans"/>
          <w:sz w:val="22"/>
          <w:szCs w:val="26"/>
          <w:lang w:val="en-US"/>
        </w:rPr>
      </w:pPr>
      <w:r w:rsidRPr="00445647">
        <w:rPr>
          <w:rFonts w:asciiTheme="majorHAnsi" w:hAnsiTheme="majorHAnsi"/>
          <w:sz w:val="22"/>
        </w:rPr>
        <w:t xml:space="preserve">The Congress </w:t>
      </w:r>
      <w:r w:rsidR="005F0BA8">
        <w:rPr>
          <w:rFonts w:asciiTheme="majorHAnsi" w:hAnsiTheme="majorHAnsi"/>
          <w:sz w:val="22"/>
        </w:rPr>
        <w:t xml:space="preserve">is </w:t>
      </w:r>
      <w:r w:rsidRPr="00445647">
        <w:rPr>
          <w:rFonts w:asciiTheme="majorHAnsi" w:hAnsiTheme="majorHAnsi"/>
          <w:sz w:val="22"/>
        </w:rPr>
        <w:t>held every two years in a European country</w:t>
      </w:r>
      <w:r w:rsidR="005F0BA8">
        <w:rPr>
          <w:rFonts w:asciiTheme="majorHAnsi" w:hAnsiTheme="majorHAnsi"/>
          <w:sz w:val="22"/>
        </w:rPr>
        <w:t>. It</w:t>
      </w:r>
      <w:r w:rsidRPr="00445647">
        <w:rPr>
          <w:rFonts w:asciiTheme="majorHAnsi" w:hAnsiTheme="majorHAnsi"/>
          <w:sz w:val="22"/>
        </w:rPr>
        <w:t xml:space="preserve"> </w:t>
      </w:r>
      <w:r w:rsidR="005F0BA8">
        <w:rPr>
          <w:rFonts w:asciiTheme="majorHAnsi" w:hAnsiTheme="majorHAnsi"/>
          <w:sz w:val="22"/>
          <w:szCs w:val="23"/>
        </w:rPr>
        <w:t>includes</w:t>
      </w:r>
      <w:r w:rsidRPr="00445647">
        <w:rPr>
          <w:rFonts w:asciiTheme="majorHAnsi" w:hAnsiTheme="majorHAnsi"/>
          <w:sz w:val="22"/>
          <w:szCs w:val="23"/>
        </w:rPr>
        <w:t xml:space="preserve"> lect</w:t>
      </w:r>
      <w:r w:rsidR="005F0BA8">
        <w:rPr>
          <w:rFonts w:asciiTheme="majorHAnsi" w:hAnsiTheme="majorHAnsi"/>
          <w:sz w:val="22"/>
          <w:szCs w:val="23"/>
        </w:rPr>
        <w:t xml:space="preserve">ures, exhibitions and workshops and </w:t>
      </w:r>
      <w:r w:rsidR="00466170">
        <w:rPr>
          <w:rFonts w:asciiTheme="majorHAnsi" w:hAnsiTheme="majorHAnsi"/>
          <w:sz w:val="22"/>
          <w:szCs w:val="23"/>
        </w:rPr>
        <w:t>brings together dry stone experts from Europe</w:t>
      </w:r>
      <w:r w:rsidR="005F0BA8">
        <w:rPr>
          <w:rFonts w:asciiTheme="majorHAnsi" w:hAnsiTheme="majorHAnsi"/>
          <w:sz w:val="22"/>
          <w:szCs w:val="23"/>
        </w:rPr>
        <w:t xml:space="preserve">, Asia, Africa, Great Britain </w:t>
      </w:r>
      <w:r w:rsidR="00466170">
        <w:rPr>
          <w:rFonts w:asciiTheme="majorHAnsi" w:hAnsiTheme="majorHAnsi"/>
          <w:sz w:val="22"/>
          <w:szCs w:val="23"/>
        </w:rPr>
        <w:t xml:space="preserve">and Australia to </w:t>
      </w:r>
      <w:r w:rsidR="005F0BA8">
        <w:rPr>
          <w:rFonts w:asciiTheme="majorHAnsi" w:hAnsiTheme="majorHAnsi"/>
          <w:sz w:val="22"/>
          <w:szCs w:val="23"/>
        </w:rPr>
        <w:t>exchange ideas</w:t>
      </w:r>
      <w:r w:rsidR="00466170">
        <w:rPr>
          <w:rFonts w:asciiTheme="majorHAnsi" w:hAnsiTheme="majorHAnsi"/>
          <w:sz w:val="22"/>
          <w:szCs w:val="23"/>
        </w:rPr>
        <w:t xml:space="preserve"> and experiences and advocate for the preservation of </w:t>
      </w:r>
      <w:r w:rsidR="00797D08">
        <w:rPr>
          <w:rFonts w:asciiTheme="majorHAnsi" w:hAnsiTheme="majorHAnsi"/>
          <w:sz w:val="22"/>
          <w:szCs w:val="23"/>
        </w:rPr>
        <w:t>world-</w:t>
      </w:r>
      <w:r w:rsidR="005F0BA8">
        <w:rPr>
          <w:rFonts w:asciiTheme="majorHAnsi" w:hAnsiTheme="majorHAnsi"/>
          <w:sz w:val="22"/>
          <w:szCs w:val="23"/>
        </w:rPr>
        <w:t>wide dry stone structures.</w:t>
      </w:r>
    </w:p>
    <w:p w:rsidR="00AE58C2" w:rsidRPr="00AE58C2" w:rsidRDefault="005F0BA8" w:rsidP="00AE58C2">
      <w:pPr>
        <w:widowControl w:val="0"/>
        <w:autoSpaceDE w:val="0"/>
        <w:autoSpaceDN w:val="0"/>
        <w:adjustRightInd w:val="0"/>
        <w:spacing w:after="216" w:line="240" w:lineRule="auto"/>
        <w:jc w:val="both"/>
        <w:rPr>
          <w:rFonts w:asciiTheme="majorHAnsi" w:hAnsiTheme="majorHAnsi" w:cs="Arial"/>
          <w:sz w:val="22"/>
          <w:szCs w:val="28"/>
          <w:lang w:val="en-US"/>
        </w:rPr>
      </w:pPr>
      <w:r>
        <w:rPr>
          <w:rFonts w:asciiTheme="majorHAnsi" w:hAnsiTheme="majorHAnsi" w:cs="Times"/>
          <w:sz w:val="22"/>
          <w:szCs w:val="44"/>
          <w:lang w:val="en-US"/>
        </w:rPr>
        <w:t xml:space="preserve">The </w:t>
      </w:r>
      <w:r w:rsidR="009800D8" w:rsidRPr="00550862">
        <w:rPr>
          <w:rFonts w:asciiTheme="majorHAnsi" w:hAnsiTheme="majorHAnsi" w:cs="Times"/>
          <w:sz w:val="22"/>
          <w:szCs w:val="44"/>
          <w:lang w:val="en-US"/>
        </w:rPr>
        <w:t>Justification for</w:t>
      </w:r>
      <w:r w:rsidRPr="005F0BA8">
        <w:rPr>
          <w:rFonts w:asciiTheme="majorHAnsi" w:hAnsiTheme="majorHAnsi" w:cs="PT Sans"/>
          <w:sz w:val="22"/>
          <w:szCs w:val="26"/>
          <w:lang w:val="en-US"/>
        </w:rPr>
        <w:t xml:space="preserve"> </w:t>
      </w:r>
      <w:r w:rsidR="00D96E69">
        <w:rPr>
          <w:rFonts w:asciiTheme="majorHAnsi" w:hAnsiTheme="majorHAnsi" w:cs="PT Sans"/>
          <w:sz w:val="22"/>
          <w:szCs w:val="26"/>
          <w:lang w:val="en-US"/>
        </w:rPr>
        <w:t>‘</w:t>
      </w:r>
      <w:r>
        <w:rPr>
          <w:rFonts w:asciiTheme="majorHAnsi" w:hAnsiTheme="majorHAnsi" w:cs="PT Sans"/>
          <w:sz w:val="22"/>
          <w:szCs w:val="26"/>
          <w:lang w:val="en-US"/>
        </w:rPr>
        <w:t>the Su Nuraxi Barumini</w:t>
      </w:r>
      <w:r w:rsidR="009800D8" w:rsidRPr="00550862">
        <w:rPr>
          <w:rFonts w:asciiTheme="majorHAnsi" w:hAnsiTheme="majorHAnsi" w:cs="Times"/>
          <w:sz w:val="22"/>
          <w:szCs w:val="44"/>
          <w:lang w:val="en-US"/>
        </w:rPr>
        <w:t xml:space="preserve"> </w:t>
      </w:r>
      <w:r>
        <w:rPr>
          <w:rFonts w:asciiTheme="majorHAnsi" w:hAnsiTheme="majorHAnsi" w:cs="Times"/>
          <w:sz w:val="22"/>
          <w:szCs w:val="44"/>
          <w:lang w:val="en-US"/>
        </w:rPr>
        <w:t xml:space="preserve">UNESCO </w:t>
      </w:r>
      <w:r w:rsidR="009800D8" w:rsidRPr="00550862">
        <w:rPr>
          <w:rFonts w:asciiTheme="majorHAnsi" w:hAnsiTheme="majorHAnsi" w:cs="Times"/>
          <w:sz w:val="22"/>
          <w:szCs w:val="44"/>
          <w:lang w:val="en-US"/>
        </w:rPr>
        <w:t>Inscription</w:t>
      </w:r>
      <w:r>
        <w:rPr>
          <w:rFonts w:asciiTheme="majorHAnsi" w:hAnsiTheme="majorHAnsi" w:cs="Times"/>
          <w:sz w:val="22"/>
          <w:szCs w:val="44"/>
          <w:lang w:val="en-US"/>
        </w:rPr>
        <w:t xml:space="preserve"> </w:t>
      </w:r>
      <w:r>
        <w:rPr>
          <w:rFonts w:asciiTheme="majorHAnsi" w:hAnsiTheme="majorHAnsi" w:cs="Arial"/>
          <w:sz w:val="22"/>
          <w:szCs w:val="28"/>
          <w:lang w:val="en-US"/>
        </w:rPr>
        <w:t xml:space="preserve">was </w:t>
      </w:r>
      <w:r w:rsidR="009800D8" w:rsidRPr="00550862">
        <w:rPr>
          <w:rFonts w:asciiTheme="majorHAnsi" w:hAnsiTheme="majorHAnsi" w:cs="Arial"/>
          <w:sz w:val="22"/>
          <w:szCs w:val="28"/>
          <w:lang w:val="en-US"/>
        </w:rPr>
        <w:t>on the basis of cultural criteria (i), (iii) and (iv), consid</w:t>
      </w:r>
      <w:r>
        <w:rPr>
          <w:rFonts w:asciiTheme="majorHAnsi" w:hAnsiTheme="majorHAnsi" w:cs="Arial"/>
          <w:sz w:val="22"/>
          <w:szCs w:val="28"/>
          <w:lang w:val="en-US"/>
        </w:rPr>
        <w:t>ering that the N</w:t>
      </w:r>
      <w:r w:rsidR="009800D8" w:rsidRPr="00550862">
        <w:rPr>
          <w:rFonts w:asciiTheme="majorHAnsi" w:hAnsiTheme="majorHAnsi" w:cs="Arial"/>
          <w:sz w:val="22"/>
          <w:szCs w:val="28"/>
          <w:lang w:val="en-US"/>
        </w:rPr>
        <w:t>uraghe of Sardinia, of which Su Nu</w:t>
      </w:r>
      <w:r w:rsidR="00797D08">
        <w:rPr>
          <w:rFonts w:asciiTheme="majorHAnsi" w:hAnsiTheme="majorHAnsi" w:cs="Arial"/>
          <w:sz w:val="22"/>
          <w:szCs w:val="28"/>
          <w:lang w:val="en-US"/>
        </w:rPr>
        <w:t>raxi is the pre-eminent example</w:t>
      </w:r>
      <w:r w:rsidR="009800D8" w:rsidRPr="00550862">
        <w:rPr>
          <w:rFonts w:asciiTheme="majorHAnsi" w:hAnsiTheme="majorHAnsi" w:cs="Arial"/>
          <w:sz w:val="22"/>
          <w:szCs w:val="28"/>
          <w:lang w:val="en-US"/>
        </w:rPr>
        <w:t xml:space="preserve"> </w:t>
      </w:r>
      <w:r w:rsidR="00797D08">
        <w:rPr>
          <w:rFonts w:asciiTheme="majorHAnsi" w:hAnsiTheme="majorHAnsi" w:cs="Arial"/>
          <w:sz w:val="22"/>
          <w:szCs w:val="28"/>
          <w:lang w:val="en-US"/>
        </w:rPr>
        <w:t xml:space="preserve">and </w:t>
      </w:r>
      <w:r w:rsidR="009800D8" w:rsidRPr="00550862">
        <w:rPr>
          <w:rFonts w:asciiTheme="majorHAnsi" w:hAnsiTheme="majorHAnsi" w:cs="Arial"/>
          <w:sz w:val="22"/>
          <w:szCs w:val="28"/>
          <w:lang w:val="en-US"/>
        </w:rPr>
        <w:lastRenderedPageBreak/>
        <w:t>represent</w:t>
      </w:r>
      <w:r w:rsidR="00797D08">
        <w:rPr>
          <w:rFonts w:asciiTheme="majorHAnsi" w:hAnsiTheme="majorHAnsi" w:cs="Arial"/>
          <w:sz w:val="22"/>
          <w:szCs w:val="28"/>
          <w:lang w:val="en-US"/>
        </w:rPr>
        <w:t>s</w:t>
      </w:r>
      <w:r w:rsidR="009800D8" w:rsidRPr="00550862">
        <w:rPr>
          <w:rFonts w:asciiTheme="majorHAnsi" w:hAnsiTheme="majorHAnsi" w:cs="Arial"/>
          <w:sz w:val="22"/>
          <w:szCs w:val="28"/>
          <w:lang w:val="en-US"/>
        </w:rPr>
        <w:t xml:space="preserve"> an exceptional response to political and social conditions, making an imaginative and innovative use of the materials and techniques available to a prehistoric island community.</w:t>
      </w:r>
      <w:r w:rsidR="00D96E69">
        <w:rPr>
          <w:rFonts w:asciiTheme="majorHAnsi" w:hAnsiTheme="majorHAnsi" w:cs="Arial"/>
          <w:sz w:val="22"/>
          <w:szCs w:val="28"/>
          <w:lang w:val="en-US"/>
        </w:rPr>
        <w:t>’</w:t>
      </w:r>
    </w:p>
    <w:p w:rsidR="00AE58C2" w:rsidRPr="00F11DAE" w:rsidRDefault="00F11DAE" w:rsidP="00F11DAE">
      <w:pPr>
        <w:pStyle w:val="Default"/>
        <w:spacing w:after="52"/>
        <w:rPr>
          <w:rFonts w:asciiTheme="majorHAnsi" w:hAnsiTheme="majorHAnsi" w:cstheme="minorHAnsi"/>
          <w:color w:val="auto"/>
          <w:sz w:val="22"/>
          <w:szCs w:val="22"/>
        </w:rPr>
      </w:pPr>
      <w:r>
        <w:rPr>
          <w:rFonts w:asciiTheme="majorHAnsi" w:hAnsiTheme="majorHAnsi" w:cstheme="minorHAnsi"/>
          <w:sz w:val="22"/>
        </w:rPr>
        <w:t xml:space="preserve">Therefore, to support Gunditjmara’s pursuit for </w:t>
      </w:r>
      <w:r w:rsidRPr="00550862">
        <w:rPr>
          <w:rFonts w:asciiTheme="majorHAnsi" w:hAnsiTheme="majorHAnsi" w:cstheme="minorHAnsi"/>
          <w:sz w:val="22"/>
        </w:rPr>
        <w:t>World Heritage nominat</w:t>
      </w:r>
      <w:r>
        <w:rPr>
          <w:rFonts w:asciiTheme="majorHAnsi" w:hAnsiTheme="majorHAnsi" w:cstheme="minorHAnsi"/>
          <w:sz w:val="22"/>
        </w:rPr>
        <w:t xml:space="preserve">ion for the Budj Bim lava flow, </w:t>
      </w:r>
      <w:r w:rsidR="005F0BA8" w:rsidRPr="00550862">
        <w:rPr>
          <w:rFonts w:asciiTheme="majorHAnsi" w:hAnsiTheme="majorHAnsi" w:cstheme="minorHAnsi"/>
          <w:sz w:val="22"/>
        </w:rPr>
        <w:t xml:space="preserve">I </w:t>
      </w:r>
      <w:r w:rsidR="005F0BA8">
        <w:rPr>
          <w:rFonts w:asciiTheme="majorHAnsi" w:hAnsiTheme="majorHAnsi" w:cstheme="minorHAnsi"/>
          <w:sz w:val="22"/>
        </w:rPr>
        <w:t xml:space="preserve">urge consideration </w:t>
      </w:r>
      <w:r w:rsidR="00AE58C2">
        <w:rPr>
          <w:rFonts w:asciiTheme="majorHAnsi" w:hAnsiTheme="majorHAnsi" w:cstheme="minorHAnsi"/>
          <w:sz w:val="22"/>
        </w:rPr>
        <w:t xml:space="preserve">for </w:t>
      </w:r>
      <w:r w:rsidR="00797D08">
        <w:rPr>
          <w:rFonts w:asciiTheme="majorHAnsi" w:hAnsiTheme="majorHAnsi" w:cstheme="minorHAnsi"/>
          <w:sz w:val="22"/>
        </w:rPr>
        <w:t>its</w:t>
      </w:r>
      <w:r w:rsidR="005F0BA8" w:rsidRPr="00550862">
        <w:rPr>
          <w:rFonts w:asciiTheme="majorHAnsi" w:hAnsiTheme="majorHAnsi" w:cstheme="minorHAnsi"/>
          <w:sz w:val="22"/>
        </w:rPr>
        <w:t xml:space="preserve"> inclusion </w:t>
      </w:r>
      <w:r w:rsidR="00AE58C2" w:rsidRPr="00550862">
        <w:rPr>
          <w:rFonts w:asciiTheme="majorHAnsi" w:hAnsiTheme="majorHAnsi" w:cstheme="minorHAnsi"/>
          <w:sz w:val="22"/>
        </w:rPr>
        <w:t>in Section 1 (c) of t</w:t>
      </w:r>
      <w:r w:rsidR="00D96E69">
        <w:rPr>
          <w:rFonts w:asciiTheme="majorHAnsi" w:hAnsiTheme="majorHAnsi" w:cstheme="minorHAnsi"/>
          <w:sz w:val="22"/>
        </w:rPr>
        <w:t>he draft Strategy that aims to ‘</w:t>
      </w:r>
      <w:r w:rsidR="00AE58C2" w:rsidRPr="00550862">
        <w:rPr>
          <w:rFonts w:asciiTheme="majorHAnsi" w:hAnsiTheme="majorHAnsi" w:cstheme="minorHAnsi"/>
          <w:sz w:val="22"/>
        </w:rPr>
        <w:t>pursue greater recognition and protection of our natural and cultural history, particularly o</w:t>
      </w:r>
      <w:r w:rsidR="00D96E69">
        <w:rPr>
          <w:rFonts w:asciiTheme="majorHAnsi" w:hAnsiTheme="majorHAnsi" w:cstheme="minorHAnsi"/>
          <w:sz w:val="22"/>
        </w:rPr>
        <w:t>ur Indigenous cultural heritage’</w:t>
      </w:r>
      <w:r w:rsidR="00AE58C2" w:rsidRPr="00550862">
        <w:rPr>
          <w:rFonts w:asciiTheme="majorHAnsi" w:hAnsiTheme="majorHAnsi" w:cstheme="minorHAnsi"/>
          <w:sz w:val="22"/>
        </w:rPr>
        <w:t>.</w:t>
      </w: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50862" w:rsidRDefault="00550862" w:rsidP="00550862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622E45" w:rsidRDefault="005F0BA8" w:rsidP="00DE506D">
      <w:pPr>
        <w:spacing w:after="0" w:line="240" w:lineRule="auto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Yours truly</w:t>
      </w:r>
    </w:p>
    <w:p w:rsidR="00622E45" w:rsidRDefault="00622E45" w:rsidP="00DE506D">
      <w:pPr>
        <w:spacing w:after="0" w:line="240" w:lineRule="auto"/>
        <w:rPr>
          <w:rFonts w:asciiTheme="majorHAnsi" w:hAnsiTheme="majorHAnsi"/>
          <w:sz w:val="22"/>
        </w:rPr>
      </w:pPr>
    </w:p>
    <w:p w:rsidR="005F0BA8" w:rsidRDefault="00622E45" w:rsidP="00DE506D">
      <w:pPr>
        <w:spacing w:after="0" w:line="240" w:lineRule="auto"/>
        <w:rPr>
          <w:rFonts w:asciiTheme="majorHAnsi" w:hAnsiTheme="majorHAnsi"/>
          <w:sz w:val="22"/>
        </w:rPr>
      </w:pPr>
      <w:r>
        <w:rPr>
          <w:noProof/>
          <w:lang w:eastAsia="en-AU"/>
        </w:rPr>
        <w:drawing>
          <wp:inline distT="0" distB="0" distL="0" distR="0">
            <wp:extent cx="1422400" cy="52832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06D" w:rsidRPr="00550862" w:rsidRDefault="00DE506D" w:rsidP="00DE506D">
      <w:pPr>
        <w:spacing w:after="0" w:line="240" w:lineRule="auto"/>
        <w:rPr>
          <w:rFonts w:asciiTheme="majorHAnsi" w:hAnsiTheme="majorHAnsi"/>
          <w:sz w:val="22"/>
        </w:rPr>
      </w:pPr>
      <w:r w:rsidRPr="00550862">
        <w:rPr>
          <w:rFonts w:asciiTheme="majorHAnsi" w:hAnsiTheme="majorHAnsi"/>
          <w:sz w:val="22"/>
        </w:rPr>
        <w:t>Raelene Marshall</w:t>
      </w:r>
    </w:p>
    <w:p w:rsidR="00DE506D" w:rsidRPr="00550862" w:rsidRDefault="00DE506D" w:rsidP="00DE506D">
      <w:pPr>
        <w:spacing w:after="0" w:line="240" w:lineRule="auto"/>
        <w:rPr>
          <w:rFonts w:asciiTheme="majorHAnsi" w:hAnsiTheme="majorHAnsi"/>
          <w:sz w:val="22"/>
        </w:rPr>
      </w:pPr>
    </w:p>
    <w:p w:rsidR="00DE506D" w:rsidRPr="00550862" w:rsidRDefault="00DE506D" w:rsidP="00DE506D">
      <w:pPr>
        <w:spacing w:after="0" w:line="240" w:lineRule="auto"/>
        <w:rPr>
          <w:rFonts w:asciiTheme="majorHAnsi" w:hAnsiTheme="majorHAnsi"/>
          <w:sz w:val="22"/>
        </w:rPr>
      </w:pPr>
      <w:r w:rsidRPr="00550862">
        <w:rPr>
          <w:rFonts w:asciiTheme="majorHAnsi" w:hAnsiTheme="majorHAnsi"/>
          <w:sz w:val="22"/>
        </w:rPr>
        <w:t>Director Culture in Action</w:t>
      </w:r>
    </w:p>
    <w:p w:rsidR="00DE506D" w:rsidRPr="00550862" w:rsidRDefault="00DE506D" w:rsidP="00DE506D">
      <w:pPr>
        <w:spacing w:after="0" w:line="240" w:lineRule="auto"/>
        <w:rPr>
          <w:rFonts w:asciiTheme="majorHAnsi" w:hAnsiTheme="majorHAnsi"/>
          <w:sz w:val="22"/>
        </w:rPr>
      </w:pPr>
      <w:r w:rsidRPr="00550862">
        <w:rPr>
          <w:rFonts w:asciiTheme="majorHAnsi" w:hAnsiTheme="majorHAnsi"/>
          <w:sz w:val="22"/>
        </w:rPr>
        <w:t xml:space="preserve">Developer and Curator of </w:t>
      </w:r>
      <w:proofErr w:type="gramStart"/>
      <w:r w:rsidRPr="00550862">
        <w:rPr>
          <w:rFonts w:asciiTheme="majorHAnsi" w:hAnsiTheme="majorHAnsi"/>
          <w:i/>
          <w:sz w:val="22"/>
        </w:rPr>
        <w:t>A</w:t>
      </w:r>
      <w:proofErr w:type="gramEnd"/>
      <w:r w:rsidRPr="00550862">
        <w:rPr>
          <w:rFonts w:asciiTheme="majorHAnsi" w:hAnsiTheme="majorHAnsi"/>
          <w:i/>
          <w:sz w:val="22"/>
        </w:rPr>
        <w:t xml:space="preserve"> Stone</w:t>
      </w:r>
      <w:r w:rsidRPr="00550862">
        <w:rPr>
          <w:rFonts w:asciiTheme="majorHAnsi" w:hAnsiTheme="majorHAnsi"/>
          <w:sz w:val="22"/>
        </w:rPr>
        <w:t xml:space="preserve"> </w:t>
      </w:r>
      <w:r w:rsidRPr="00550862">
        <w:rPr>
          <w:rFonts w:asciiTheme="majorHAnsi" w:hAnsiTheme="majorHAnsi"/>
          <w:i/>
          <w:sz w:val="22"/>
        </w:rPr>
        <w:t>Upon</w:t>
      </w:r>
      <w:r w:rsidRPr="00550862">
        <w:rPr>
          <w:rFonts w:asciiTheme="majorHAnsi" w:hAnsiTheme="majorHAnsi"/>
          <w:sz w:val="22"/>
        </w:rPr>
        <w:t xml:space="preserve"> </w:t>
      </w:r>
      <w:r w:rsidRPr="00550862">
        <w:rPr>
          <w:rFonts w:asciiTheme="majorHAnsi" w:hAnsiTheme="majorHAnsi"/>
          <w:i/>
          <w:sz w:val="22"/>
        </w:rPr>
        <w:t>A Stone</w:t>
      </w:r>
      <w:r w:rsidRPr="00550862">
        <w:rPr>
          <w:rFonts w:asciiTheme="majorHAnsi" w:hAnsiTheme="majorHAnsi"/>
          <w:sz w:val="22"/>
        </w:rPr>
        <w:t xml:space="preserve"> Visions of</w:t>
      </w:r>
      <w:r w:rsidR="00622E45">
        <w:rPr>
          <w:rFonts w:asciiTheme="majorHAnsi" w:hAnsiTheme="majorHAnsi"/>
          <w:sz w:val="22"/>
        </w:rPr>
        <w:t xml:space="preserve"> Australia Touring Exhibition.</w:t>
      </w:r>
      <w:r w:rsidRPr="00550862">
        <w:rPr>
          <w:rFonts w:asciiTheme="majorHAnsi" w:hAnsiTheme="majorHAnsi"/>
          <w:sz w:val="22"/>
        </w:rPr>
        <w:t xml:space="preserve">1999-2004 </w:t>
      </w:r>
    </w:p>
    <w:p w:rsidR="00970D5D" w:rsidRPr="00550862" w:rsidRDefault="00DE506D" w:rsidP="00DE506D">
      <w:pPr>
        <w:spacing w:after="0" w:line="240" w:lineRule="auto"/>
        <w:rPr>
          <w:rFonts w:asciiTheme="majorHAnsi" w:hAnsiTheme="majorHAnsi"/>
          <w:sz w:val="22"/>
        </w:rPr>
      </w:pPr>
      <w:r w:rsidRPr="00550862">
        <w:rPr>
          <w:rFonts w:asciiTheme="majorHAnsi" w:hAnsiTheme="majorHAnsi"/>
          <w:sz w:val="22"/>
        </w:rPr>
        <w:t xml:space="preserve">Foundation Member of the Dry Stone Walls Association of Australia 2002 </w:t>
      </w:r>
    </w:p>
    <w:p w:rsidR="00970D5D" w:rsidRPr="00550862" w:rsidRDefault="00970D5D" w:rsidP="00DE506D">
      <w:pPr>
        <w:spacing w:after="0" w:line="240" w:lineRule="auto"/>
        <w:rPr>
          <w:rFonts w:asciiTheme="majorHAnsi" w:hAnsiTheme="majorHAnsi"/>
          <w:sz w:val="22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p w:rsidR="005F0BA8" w:rsidRDefault="005F0BA8" w:rsidP="005F0BA8">
      <w:pPr>
        <w:pStyle w:val="Default"/>
        <w:rPr>
          <w:rFonts w:asciiTheme="majorHAnsi" w:hAnsiTheme="majorHAnsi"/>
          <w:bCs/>
          <w:color w:val="auto"/>
          <w:sz w:val="22"/>
          <w:szCs w:val="23"/>
        </w:rPr>
      </w:pPr>
    </w:p>
    <w:sectPr w:rsidR="005F0BA8" w:rsidSect="007A5CCE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ans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0DAD"/>
    <w:multiLevelType w:val="hybridMultilevel"/>
    <w:tmpl w:val="C916DB3E"/>
    <w:lvl w:ilvl="0" w:tplc="001EE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43C5B"/>
    <w:multiLevelType w:val="hybridMultilevel"/>
    <w:tmpl w:val="ABCC5178"/>
    <w:lvl w:ilvl="0" w:tplc="001EE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removePersonalInformation/>
  <w:removeDateAndTime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A5CCE"/>
    <w:rsid w:val="000A543A"/>
    <w:rsid w:val="00252869"/>
    <w:rsid w:val="003E4C57"/>
    <w:rsid w:val="00445647"/>
    <w:rsid w:val="00466170"/>
    <w:rsid w:val="00476B14"/>
    <w:rsid w:val="00550862"/>
    <w:rsid w:val="005F0BA8"/>
    <w:rsid w:val="00622E45"/>
    <w:rsid w:val="006C266D"/>
    <w:rsid w:val="007078E2"/>
    <w:rsid w:val="00797D08"/>
    <w:rsid w:val="007A5CCE"/>
    <w:rsid w:val="0088057C"/>
    <w:rsid w:val="00881731"/>
    <w:rsid w:val="00970D5D"/>
    <w:rsid w:val="009800D8"/>
    <w:rsid w:val="009B18FE"/>
    <w:rsid w:val="00A2735D"/>
    <w:rsid w:val="00AC5073"/>
    <w:rsid w:val="00AE58C2"/>
    <w:rsid w:val="00B908FB"/>
    <w:rsid w:val="00C06951"/>
    <w:rsid w:val="00C75539"/>
    <w:rsid w:val="00D05D50"/>
    <w:rsid w:val="00D06274"/>
    <w:rsid w:val="00D87040"/>
    <w:rsid w:val="00D96E69"/>
    <w:rsid w:val="00DE506D"/>
    <w:rsid w:val="00E432E6"/>
    <w:rsid w:val="00E937D6"/>
    <w:rsid w:val="00F11DAE"/>
    <w:rsid w:val="00F7642E"/>
    <w:rsid w:val="00F90F72"/>
    <w:rsid w:val="00FA51F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CE"/>
    <w:pPr>
      <w:spacing w:after="200" w:line="276" w:lineRule="auto"/>
    </w:pPr>
    <w:rPr>
      <w:rFonts w:ascii="Times New Roman" w:hAnsi="Times New Roman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A5CCE"/>
    <w:pPr>
      <w:autoSpaceDE w:val="0"/>
      <w:autoSpaceDN w:val="0"/>
      <w:adjustRightInd w:val="0"/>
    </w:pPr>
    <w:rPr>
      <w:rFonts w:ascii="Myriad Pro" w:hAnsi="Myriad Pro" w:cs="Myriad Pro"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rsid w:val="007A5CCE"/>
    <w:rPr>
      <w:color w:val="0000FF" w:themeColor="hyperlink"/>
      <w:u w:val="single"/>
    </w:rPr>
  </w:style>
  <w:style w:type="paragraph" w:customStyle="1" w:styleId="Pa14">
    <w:name w:val="Pa14"/>
    <w:basedOn w:val="Default"/>
    <w:next w:val="Default"/>
    <w:uiPriority w:val="99"/>
    <w:rsid w:val="00C75539"/>
    <w:pPr>
      <w:spacing w:line="241" w:lineRule="atLeast"/>
    </w:pPr>
    <w:rPr>
      <w:rFonts w:cstheme="minorBidi"/>
      <w:color w:va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7553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C26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72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AusHeritageStrategy@environment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023-culture-in-action-att1.docx</dc:title>
  <dc:creator/>
  <cp:lastModifiedBy/>
  <cp:revision>1</cp:revision>
  <dcterms:created xsi:type="dcterms:W3CDTF">2014-10-29T03:30:00Z</dcterms:created>
  <dcterms:modified xsi:type="dcterms:W3CDTF">2014-10-29T03:30:00Z</dcterms:modified>
</cp:coreProperties>
</file>