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3A6BAB" w:rsidP="000341CC">
            <w:pPr>
              <w:rPr>
                <w:rFonts w:ascii="Arial" w:hAnsi="Arial" w:cs="Arial"/>
              </w:rPr>
            </w:pPr>
            <w:r>
              <w:rPr>
                <w:rFonts w:ascii="Arial" w:hAnsi="Arial" w:cs="Arial"/>
              </w:rPr>
              <w:t>Griffith University</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3A6BAB" w:rsidP="000341CC">
            <w:pPr>
              <w:rPr>
                <w:rFonts w:ascii="Arial" w:hAnsi="Arial" w:cs="Arial"/>
                <w:b/>
                <w:lang w:val="en-GB"/>
              </w:rPr>
            </w:pPr>
            <w:r>
              <w:rPr>
                <w:rFonts w:ascii="Arial" w:hAnsi="Arial" w:cs="Arial"/>
                <w:b/>
                <w:lang w:val="en-GB"/>
              </w:rPr>
              <w:t>Ralf Buckley</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3A6BAB" w:rsidP="000341CC">
            <w:pPr>
              <w:rPr>
                <w:rFonts w:ascii="Arial" w:hAnsi="Arial" w:cs="Arial"/>
                <w:b/>
                <w:lang w:val="en-GB"/>
              </w:rPr>
            </w:pPr>
            <w:r>
              <w:rPr>
                <w:rFonts w:ascii="Arial" w:hAnsi="Arial" w:cs="Arial"/>
                <w:b/>
                <w:lang w:val="en-GB"/>
              </w:rPr>
              <w:t>4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DE28EB" w:rsidRDefault="00DE28EB" w:rsidP="003A6BAB">
            <w:pPr>
              <w:pStyle w:val="just15sp"/>
              <w:spacing w:line="240" w:lineRule="auto"/>
            </w:pPr>
          </w:p>
          <w:p w:rsidR="00DE28EB" w:rsidRPr="00A14034" w:rsidRDefault="00DE28EB" w:rsidP="00DE28EB">
            <w:pPr>
              <w:pStyle w:val="just15sp"/>
              <w:spacing w:line="240" w:lineRule="auto"/>
              <w:rPr>
                <w:b/>
                <w:sz w:val="28"/>
                <w:szCs w:val="28"/>
              </w:rPr>
            </w:pPr>
            <w:r w:rsidRPr="00A14034">
              <w:rPr>
                <w:b/>
                <w:sz w:val="28"/>
                <w:szCs w:val="28"/>
              </w:rPr>
              <w:t>Submission on “A Strategy for Australia’s Heritage”</w:t>
            </w:r>
          </w:p>
          <w:p w:rsidR="00DE28EB" w:rsidRPr="00A14034" w:rsidRDefault="00DE28EB" w:rsidP="00DE28EB">
            <w:pPr>
              <w:spacing w:after="0" w:line="240" w:lineRule="auto"/>
              <w:jc w:val="both"/>
              <w:rPr>
                <w:rFonts w:ascii="Times New Roman" w:hAnsi="Times New Roman"/>
                <w:b/>
                <w:sz w:val="28"/>
                <w:szCs w:val="28"/>
                <w:lang w:eastAsia="en-AU"/>
              </w:rPr>
            </w:pPr>
            <w:r w:rsidRPr="00A14034">
              <w:rPr>
                <w:rFonts w:ascii="Times New Roman" w:hAnsi="Times New Roman"/>
                <w:b/>
                <w:sz w:val="28"/>
                <w:szCs w:val="28"/>
                <w:lang w:eastAsia="en-AU"/>
              </w:rPr>
              <w:t>Proposal for National Heritage Research Facility</w:t>
            </w:r>
          </w:p>
          <w:p w:rsidR="00DE28EB" w:rsidRDefault="00DE28EB" w:rsidP="00DE28EB">
            <w:pPr>
              <w:spacing w:after="0" w:line="240" w:lineRule="auto"/>
              <w:jc w:val="both"/>
              <w:rPr>
                <w:rFonts w:ascii="Times New Roman" w:hAnsi="Times New Roman"/>
                <w:b/>
                <w:sz w:val="24"/>
                <w:szCs w:val="24"/>
                <w:lang w:eastAsia="en-AU"/>
              </w:rPr>
            </w:pPr>
            <w:r>
              <w:rPr>
                <w:rFonts w:ascii="Times New Roman" w:hAnsi="Times New Roman"/>
                <w:b/>
                <w:sz w:val="24"/>
                <w:szCs w:val="24"/>
                <w:lang w:eastAsia="en-AU"/>
              </w:rPr>
              <w:t>Ralf Buckley, Griffith University</w:t>
            </w:r>
          </w:p>
          <w:p w:rsidR="00DE28EB" w:rsidRPr="00C4580F" w:rsidRDefault="00DE28EB" w:rsidP="00DE28EB">
            <w:pPr>
              <w:pStyle w:val="just15sp"/>
              <w:spacing w:line="240" w:lineRule="auto"/>
              <w:rPr>
                <w:i/>
              </w:rPr>
            </w:pPr>
            <w:r w:rsidRPr="00C824AE">
              <w:rPr>
                <w:rFonts w:eastAsia="Times New Roman" w:cs="Times New Roman"/>
                <w:szCs w:val="24"/>
                <w:lang w:eastAsia="en-AU"/>
              </w:rPr>
              <w:br/>
            </w:r>
            <w:r>
              <w:rPr>
                <w:i/>
              </w:rPr>
              <w:t>[</w:t>
            </w:r>
            <w:r w:rsidRPr="00C4580F">
              <w:rPr>
                <w:i/>
              </w:rPr>
              <w:t>This submission is lodged in my professional capacity as a member of the academic staff of Griffith University</w:t>
            </w:r>
            <w:r>
              <w:rPr>
                <w:i/>
              </w:rPr>
              <w:t xml:space="preserve"> with expertise in relevant areas of research]. </w:t>
            </w:r>
          </w:p>
          <w:p w:rsidR="00DE28EB" w:rsidRDefault="00DE28EB" w:rsidP="00DE28EB">
            <w:pPr>
              <w:spacing w:after="0" w:line="240" w:lineRule="auto"/>
              <w:jc w:val="both"/>
              <w:rPr>
                <w:rFonts w:ascii="Times New Roman" w:hAnsi="Times New Roman"/>
                <w:sz w:val="24"/>
                <w:szCs w:val="24"/>
                <w:lang w:eastAsia="en-AU"/>
              </w:rPr>
            </w:pPr>
          </w:p>
          <w:p w:rsidR="00DE28EB" w:rsidRDefault="00DE28EB" w:rsidP="00DE28EB">
            <w:pPr>
              <w:spacing w:after="0" w:line="240" w:lineRule="auto"/>
              <w:jc w:val="both"/>
              <w:rPr>
                <w:rFonts w:ascii="Times New Roman" w:hAnsi="Times New Roman"/>
                <w:sz w:val="24"/>
                <w:szCs w:val="24"/>
                <w:lang w:eastAsia="en-AU"/>
              </w:rPr>
            </w:pPr>
            <w:r w:rsidRPr="00C824AE">
              <w:rPr>
                <w:rFonts w:ascii="Times New Roman" w:hAnsi="Times New Roman"/>
                <w:sz w:val="24"/>
                <w:szCs w:val="24"/>
                <w:lang w:eastAsia="en-AU"/>
              </w:rPr>
              <w:t>Heritage is a valuable asset, worth managing well.   Cultural heritage provides social continuity and a stable anchor or reference point.  Natural heritage provides the genomes which underpin our farm and pharmaceutical industries, and the ecosystem services which provide us with drinkable water, breathable air</w:t>
            </w:r>
            <w:r>
              <w:rPr>
                <w:rFonts w:ascii="Times New Roman" w:hAnsi="Times New Roman"/>
                <w:sz w:val="24"/>
                <w:szCs w:val="24"/>
                <w:lang w:eastAsia="en-AU"/>
              </w:rPr>
              <w:t xml:space="preserve">, </w:t>
            </w:r>
            <w:r w:rsidRPr="00C824AE">
              <w:rPr>
                <w:rFonts w:ascii="Times New Roman" w:hAnsi="Times New Roman"/>
                <w:sz w:val="24"/>
                <w:szCs w:val="24"/>
                <w:lang w:eastAsia="en-AU"/>
              </w:rPr>
              <w:t>climate control</w:t>
            </w:r>
            <w:r>
              <w:rPr>
                <w:rFonts w:ascii="Times New Roman" w:hAnsi="Times New Roman"/>
                <w:sz w:val="24"/>
                <w:szCs w:val="24"/>
                <w:lang w:eastAsia="en-AU"/>
              </w:rPr>
              <w:t xml:space="preserve">, and </w:t>
            </w:r>
            <w:r w:rsidRPr="00C824AE">
              <w:rPr>
                <w:rFonts w:ascii="Times New Roman" w:hAnsi="Times New Roman"/>
                <w:sz w:val="24"/>
                <w:szCs w:val="24"/>
                <w:lang w:eastAsia="en-AU"/>
              </w:rPr>
              <w:t>pollination</w:t>
            </w:r>
            <w:r>
              <w:rPr>
                <w:rFonts w:ascii="Times New Roman" w:hAnsi="Times New Roman"/>
                <w:sz w:val="24"/>
                <w:szCs w:val="24"/>
                <w:lang w:eastAsia="en-AU"/>
              </w:rPr>
              <w:t xml:space="preserve"> of farm and orchard crops.  </w:t>
            </w:r>
            <w:r w:rsidRPr="00C824AE">
              <w:rPr>
                <w:rFonts w:ascii="Times New Roman" w:hAnsi="Times New Roman"/>
                <w:sz w:val="24"/>
                <w:szCs w:val="24"/>
                <w:lang w:eastAsia="en-AU"/>
              </w:rPr>
              <w:t xml:space="preserve">Both natural and cultural heritage, tangible and intangible, </w:t>
            </w:r>
            <w:r>
              <w:rPr>
                <w:rFonts w:ascii="Times New Roman" w:hAnsi="Times New Roman"/>
                <w:sz w:val="24"/>
                <w:szCs w:val="24"/>
                <w:lang w:eastAsia="en-AU"/>
              </w:rPr>
              <w:t xml:space="preserve">also </w:t>
            </w:r>
            <w:r w:rsidRPr="00C824AE">
              <w:rPr>
                <w:rFonts w:ascii="Times New Roman" w:hAnsi="Times New Roman"/>
                <w:sz w:val="24"/>
                <w:szCs w:val="24"/>
                <w:lang w:eastAsia="en-AU"/>
              </w:rPr>
              <w:t>provide products and settings for much of our tourism industry.</w:t>
            </w:r>
          </w:p>
          <w:p w:rsidR="00DE28EB" w:rsidRDefault="00DE28EB" w:rsidP="00DE28EB">
            <w:pPr>
              <w:spacing w:after="0" w:line="240" w:lineRule="auto"/>
              <w:jc w:val="both"/>
              <w:rPr>
                <w:rFonts w:ascii="Times New Roman" w:hAnsi="Times New Roman"/>
                <w:sz w:val="24"/>
                <w:szCs w:val="24"/>
                <w:lang w:eastAsia="en-AU"/>
              </w:rPr>
            </w:pPr>
            <w:r w:rsidRPr="00C824AE">
              <w:rPr>
                <w:rFonts w:ascii="Times New Roman" w:hAnsi="Times New Roman"/>
                <w:sz w:val="24"/>
                <w:szCs w:val="24"/>
                <w:lang w:eastAsia="en-AU"/>
              </w:rPr>
              <w:lastRenderedPageBreak/>
              <w:br/>
              <w:t>As with any valuable asset, good management requires that we know</w:t>
            </w:r>
            <w:r>
              <w:rPr>
                <w:rFonts w:ascii="Times New Roman" w:hAnsi="Times New Roman"/>
                <w:sz w:val="24"/>
                <w:szCs w:val="24"/>
                <w:lang w:eastAsia="en-AU"/>
              </w:rPr>
              <w:t>:</w:t>
            </w:r>
            <w:r w:rsidRPr="00C824AE">
              <w:rPr>
                <w:rFonts w:ascii="Times New Roman" w:hAnsi="Times New Roman"/>
                <w:sz w:val="24"/>
                <w:szCs w:val="24"/>
                <w:lang w:eastAsia="en-AU"/>
              </w:rPr>
              <w:t xml:space="preserve"> firstly, what our assets are and what condition they are in; secondly, what threats they face; thirdly, what management measures we can take to protect them from such threats; fourthly, how such measures can be funded; and fifthly, how successful such management measures prove to be, in maintaining asset value.  These are research questions.  They are </w:t>
            </w:r>
            <w:proofErr w:type="gramStart"/>
            <w:r w:rsidRPr="00C824AE">
              <w:rPr>
                <w:rFonts w:ascii="Times New Roman" w:hAnsi="Times New Roman"/>
                <w:sz w:val="24"/>
                <w:szCs w:val="24"/>
                <w:lang w:eastAsia="en-AU"/>
              </w:rPr>
              <w:t>key</w:t>
            </w:r>
            <w:proofErr w:type="gramEnd"/>
            <w:r w:rsidRPr="00C824AE">
              <w:rPr>
                <w:rFonts w:ascii="Times New Roman" w:hAnsi="Times New Roman"/>
                <w:sz w:val="24"/>
                <w:szCs w:val="24"/>
                <w:lang w:eastAsia="en-AU"/>
              </w:rPr>
              <w:t xml:space="preserve"> to effective management of national heritage so as to maintain its asset value, but they are not yet incorporated in the draft National Heritage Strategy.</w:t>
            </w:r>
          </w:p>
          <w:p w:rsidR="00DE28EB" w:rsidRDefault="00DE28EB" w:rsidP="00DE28EB">
            <w:pPr>
              <w:spacing w:after="0" w:line="240" w:lineRule="auto"/>
              <w:jc w:val="both"/>
              <w:rPr>
                <w:rFonts w:ascii="Times New Roman" w:hAnsi="Times New Roman"/>
                <w:sz w:val="24"/>
                <w:szCs w:val="24"/>
                <w:lang w:eastAsia="en-AU"/>
              </w:rPr>
            </w:pPr>
            <w:r w:rsidRPr="00C824AE">
              <w:rPr>
                <w:rFonts w:ascii="Times New Roman" w:hAnsi="Times New Roman"/>
                <w:sz w:val="24"/>
                <w:szCs w:val="24"/>
                <w:lang w:eastAsia="en-AU"/>
              </w:rPr>
              <w:br/>
              <w:t>The National Heritage Strategy as currently written contains a number of major initiatives, notably the Green Army, intended to help manage our national heritage, which of course includes World Heritage.  But it does not yet contain any components to determine where the Green Army can be deployed most effectively, o</w:t>
            </w:r>
            <w:r>
              <w:rPr>
                <w:rFonts w:ascii="Times New Roman" w:hAnsi="Times New Roman"/>
                <w:sz w:val="24"/>
                <w:szCs w:val="24"/>
                <w:lang w:eastAsia="en-AU"/>
              </w:rPr>
              <w:t>r</w:t>
            </w:r>
            <w:r w:rsidRPr="00C824AE">
              <w:rPr>
                <w:rFonts w:ascii="Times New Roman" w:hAnsi="Times New Roman"/>
                <w:sz w:val="24"/>
                <w:szCs w:val="24"/>
                <w:lang w:eastAsia="en-AU"/>
              </w:rPr>
              <w:t xml:space="preserve"> to measure the outcomes.</w:t>
            </w:r>
          </w:p>
          <w:p w:rsidR="00DE28EB" w:rsidRDefault="00DE28EB" w:rsidP="00DE28EB">
            <w:pPr>
              <w:spacing w:after="0" w:line="240" w:lineRule="auto"/>
              <w:jc w:val="both"/>
              <w:rPr>
                <w:rFonts w:ascii="Times New Roman" w:hAnsi="Times New Roman"/>
                <w:sz w:val="24"/>
                <w:szCs w:val="24"/>
                <w:lang w:eastAsia="en-AU"/>
              </w:rPr>
            </w:pPr>
            <w:r w:rsidRPr="00C824AE">
              <w:rPr>
                <w:rFonts w:ascii="Times New Roman" w:hAnsi="Times New Roman"/>
                <w:sz w:val="24"/>
                <w:szCs w:val="24"/>
                <w:lang w:eastAsia="en-AU"/>
              </w:rPr>
              <w:br/>
              <w:t xml:space="preserve">Nor does it yet contain any </w:t>
            </w:r>
            <w:r>
              <w:rPr>
                <w:rFonts w:ascii="Times New Roman" w:hAnsi="Times New Roman"/>
                <w:sz w:val="24"/>
                <w:szCs w:val="24"/>
                <w:lang w:eastAsia="en-AU"/>
              </w:rPr>
              <w:t>initiative</w:t>
            </w:r>
            <w:r w:rsidRPr="00C824AE">
              <w:rPr>
                <w:rFonts w:ascii="Times New Roman" w:hAnsi="Times New Roman"/>
                <w:sz w:val="24"/>
                <w:szCs w:val="24"/>
                <w:lang w:eastAsia="en-AU"/>
              </w:rPr>
              <w:t xml:space="preserve"> to determine which components of our national heritage require public funding support, and which could contribute significantly to their own support, e.g. </w:t>
            </w:r>
            <w:r>
              <w:rPr>
                <w:rFonts w:ascii="Times New Roman" w:hAnsi="Times New Roman"/>
                <w:sz w:val="24"/>
                <w:szCs w:val="24"/>
                <w:lang w:eastAsia="en-AU"/>
              </w:rPr>
              <w:t xml:space="preserve">through ecotourism.  These are </w:t>
            </w:r>
            <w:r w:rsidRPr="00C824AE">
              <w:rPr>
                <w:rFonts w:ascii="Times New Roman" w:hAnsi="Times New Roman"/>
                <w:sz w:val="24"/>
                <w:szCs w:val="24"/>
                <w:lang w:eastAsia="en-AU"/>
              </w:rPr>
              <w:t>market questions, determined by the interests, behaviour and expenditure of tourists and the operation of th</w:t>
            </w:r>
            <w:r>
              <w:rPr>
                <w:rFonts w:ascii="Times New Roman" w:hAnsi="Times New Roman"/>
                <w:sz w:val="24"/>
                <w:szCs w:val="24"/>
                <w:lang w:eastAsia="en-AU"/>
              </w:rPr>
              <w:t xml:space="preserve">e commercial tourism industry, </w:t>
            </w:r>
            <w:r w:rsidRPr="00C824AE">
              <w:rPr>
                <w:rFonts w:ascii="Times New Roman" w:hAnsi="Times New Roman"/>
                <w:sz w:val="24"/>
                <w:szCs w:val="24"/>
                <w:lang w:eastAsia="en-AU"/>
              </w:rPr>
              <w:t>as well as the characteristics of heritage assets themselves.</w:t>
            </w:r>
          </w:p>
          <w:p w:rsidR="00DE28EB" w:rsidRDefault="00DE28EB" w:rsidP="00DE28EB">
            <w:pPr>
              <w:spacing w:after="0" w:line="240" w:lineRule="auto"/>
              <w:jc w:val="both"/>
              <w:rPr>
                <w:rFonts w:ascii="Times New Roman" w:hAnsi="Times New Roman"/>
                <w:sz w:val="24"/>
                <w:szCs w:val="24"/>
                <w:lang w:eastAsia="en-AU"/>
              </w:rPr>
            </w:pPr>
            <w:r w:rsidRPr="00C824AE">
              <w:rPr>
                <w:rFonts w:ascii="Times New Roman" w:hAnsi="Times New Roman"/>
                <w:sz w:val="24"/>
                <w:szCs w:val="24"/>
                <w:lang w:eastAsia="en-AU"/>
              </w:rPr>
              <w:br/>
              <w:t>Similarly, the NHS does not yet distinguish between the different roles, mechanisms and outcomes of conservation in national parks and other public protected areas, other public lands, private landholdings, and Aboriginal reserves. There are many case studies examining exactly these questions for heritage properties worldwide, but they have not been incorporated into Australian heritage policy in any systematic way.</w:t>
            </w:r>
          </w:p>
          <w:p w:rsidR="00DE28EB" w:rsidRDefault="00DE28EB" w:rsidP="00DE28EB">
            <w:pPr>
              <w:spacing w:after="0" w:line="240" w:lineRule="auto"/>
              <w:jc w:val="both"/>
              <w:rPr>
                <w:rFonts w:ascii="Times New Roman" w:hAnsi="Times New Roman"/>
                <w:sz w:val="24"/>
                <w:szCs w:val="24"/>
                <w:lang w:eastAsia="en-AU"/>
              </w:rPr>
            </w:pPr>
            <w:r w:rsidRPr="00C824AE">
              <w:rPr>
                <w:rFonts w:ascii="Times New Roman" w:hAnsi="Times New Roman"/>
                <w:sz w:val="24"/>
                <w:szCs w:val="24"/>
                <w:lang w:eastAsia="en-AU"/>
              </w:rPr>
              <w:br/>
              <w:t>For example, the main economic analysis of the brand or icon value of World Heritage for tourism, measured by increases in visitor numbers, was carried out for Australian WHAs.   The largest study of visitor and environmental management tools for protected areas was carried out recently for 1100 parks in China.   The most effective examples of management of public, private and communally owned lands for wildlife tourism and conservation are in Africa.</w:t>
            </w:r>
          </w:p>
          <w:p w:rsidR="00DE28EB" w:rsidRDefault="00DE28EB" w:rsidP="00DE28EB">
            <w:pPr>
              <w:spacing w:after="0" w:line="240" w:lineRule="auto"/>
              <w:jc w:val="both"/>
              <w:rPr>
                <w:rFonts w:ascii="Times New Roman" w:hAnsi="Times New Roman"/>
                <w:sz w:val="24"/>
                <w:szCs w:val="24"/>
                <w:lang w:eastAsia="en-AU"/>
              </w:rPr>
            </w:pPr>
          </w:p>
          <w:p w:rsidR="00DE28EB" w:rsidRDefault="00DE28EB" w:rsidP="00DE28EB">
            <w:pPr>
              <w:spacing w:after="0" w:line="240" w:lineRule="auto"/>
              <w:jc w:val="both"/>
              <w:rPr>
                <w:rFonts w:ascii="Times New Roman" w:hAnsi="Times New Roman"/>
                <w:sz w:val="24"/>
                <w:szCs w:val="24"/>
                <w:lang w:eastAsia="en-AU"/>
              </w:rPr>
            </w:pPr>
            <w:r w:rsidRPr="00C824AE">
              <w:rPr>
                <w:rFonts w:ascii="Times New Roman" w:hAnsi="Times New Roman"/>
                <w:sz w:val="24"/>
                <w:szCs w:val="24"/>
                <w:lang w:eastAsia="en-AU"/>
              </w:rPr>
              <w:t xml:space="preserve">Patterns in private investment to establish visitor infrastructure in public protected areas differ greatly between continents.  The same applies to the proportion of parks funding derived from ecotourism, and the economic contribution of ecotourism to conservation of rare species and other components of natural heritage.  All this information is available, but it has not yet found its way into </w:t>
            </w:r>
            <w:proofErr w:type="gramStart"/>
            <w:r w:rsidRPr="00C824AE">
              <w:rPr>
                <w:rFonts w:ascii="Times New Roman" w:hAnsi="Times New Roman"/>
                <w:sz w:val="24"/>
                <w:szCs w:val="24"/>
                <w:lang w:eastAsia="en-AU"/>
              </w:rPr>
              <w:t>management,</w:t>
            </w:r>
            <w:proofErr w:type="gramEnd"/>
            <w:r w:rsidRPr="00C824AE">
              <w:rPr>
                <w:rFonts w:ascii="Times New Roman" w:hAnsi="Times New Roman"/>
                <w:sz w:val="24"/>
                <w:szCs w:val="24"/>
                <w:lang w:eastAsia="en-AU"/>
              </w:rPr>
              <w:t xml:space="preserve"> or even into international materials such as the IUCN Best Practice Guides to be launched at the forthcoming World Parks Congress in Sydney later this year.</w:t>
            </w:r>
          </w:p>
          <w:p w:rsidR="00DE28EB" w:rsidRPr="00C824AE" w:rsidRDefault="00DE28EB" w:rsidP="00DE28EB">
            <w:pPr>
              <w:spacing w:after="0" w:line="240" w:lineRule="auto"/>
              <w:jc w:val="both"/>
              <w:rPr>
                <w:rFonts w:ascii="Times New Roman" w:hAnsi="Times New Roman"/>
                <w:sz w:val="24"/>
                <w:szCs w:val="24"/>
                <w:lang w:eastAsia="en-AU"/>
              </w:rPr>
            </w:pPr>
            <w:bookmarkStart w:id="0" w:name="_GoBack"/>
            <w:bookmarkEnd w:id="0"/>
            <w:r w:rsidRPr="00C824AE">
              <w:rPr>
                <w:rFonts w:ascii="Times New Roman" w:hAnsi="Times New Roman"/>
                <w:sz w:val="24"/>
                <w:szCs w:val="24"/>
                <w:lang w:eastAsia="en-AU"/>
              </w:rPr>
              <w:br/>
              <w:t>Therefore, I suggest that one valuable component of the NHS would be to establish a National Heritage Research Facility, including World Heritage, to compile and provide the information outlined above to the Australian Department of Environment and its State and Territory Government partners, on an ongoing basis.  I suggest that the NHRF could b</w:t>
            </w:r>
            <w:r>
              <w:rPr>
                <w:rFonts w:ascii="Times New Roman" w:hAnsi="Times New Roman"/>
                <w:sz w:val="24"/>
                <w:szCs w:val="24"/>
                <w:lang w:eastAsia="en-AU"/>
              </w:rPr>
              <w:t xml:space="preserve">e established under the new NESP. </w:t>
            </w:r>
            <w:r w:rsidRPr="00C824AE">
              <w:rPr>
                <w:rFonts w:ascii="Times New Roman" w:hAnsi="Times New Roman"/>
                <w:sz w:val="24"/>
                <w:szCs w:val="24"/>
                <w:lang w:eastAsia="en-AU"/>
              </w:rPr>
              <w:t xml:space="preserve"> </w:t>
            </w:r>
          </w:p>
          <w:p w:rsidR="00DE28EB" w:rsidRDefault="00DE28EB" w:rsidP="00DE28EB">
            <w:pPr>
              <w:spacing w:after="0"/>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3A6BAB"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Please see previous section</w:t>
            </w: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3A6BAB"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Please see previous section</w:t>
            </w: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E3D" w:rsidRDefault="004D1E3D" w:rsidP="00A60185">
      <w:pPr>
        <w:spacing w:after="0" w:line="240" w:lineRule="auto"/>
      </w:pPr>
      <w:r>
        <w:separator/>
      </w:r>
    </w:p>
  </w:endnote>
  <w:endnote w:type="continuationSeparator" w:id="0">
    <w:p w:rsidR="004D1E3D" w:rsidRDefault="004D1E3D"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651394">
        <w:pPr>
          <w:pStyle w:val="Footer"/>
          <w:jc w:val="center"/>
        </w:pPr>
        <w:r>
          <w:fldChar w:fldCharType="begin"/>
        </w:r>
        <w:r w:rsidR="004D1E3D">
          <w:instrText xml:space="preserve"> PAGE   \* MERGEFORMAT </w:instrText>
        </w:r>
        <w:r>
          <w:fldChar w:fldCharType="separate"/>
        </w:r>
        <w:r w:rsidR="00896FB1">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E3D" w:rsidRDefault="004D1E3D" w:rsidP="00A60185">
      <w:pPr>
        <w:spacing w:after="0" w:line="240" w:lineRule="auto"/>
      </w:pPr>
      <w:r>
        <w:separator/>
      </w:r>
    </w:p>
  </w:footnote>
  <w:footnote w:type="continuationSeparator" w:id="0">
    <w:p w:rsidR="004D1E3D" w:rsidRDefault="004D1E3D"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651394"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79B1414"/>
    <w:multiLevelType w:val="hybridMultilevel"/>
    <w:tmpl w:val="ED2C78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5456429"/>
    <w:multiLevelType w:val="multilevel"/>
    <w:tmpl w:val="E898CC72"/>
    <w:numStyleLink w:val="KeyPoints"/>
  </w:abstractNum>
  <w:abstractNum w:abstractNumId="32">
    <w:nsid w:val="672E0C2A"/>
    <w:multiLevelType w:val="multilevel"/>
    <w:tmpl w:val="E5E89F92"/>
    <w:numStyleLink w:val="BulletList"/>
  </w:abstractNum>
  <w:abstractNum w:abstractNumId="33">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A823B13"/>
    <w:multiLevelType w:val="multilevel"/>
    <w:tmpl w:val="E5E89F92"/>
    <w:numStyleLink w:val="BulletList"/>
  </w:abstractNum>
  <w:abstractNum w:abstractNumId="36">
    <w:nsid w:val="6DF2198A"/>
    <w:multiLevelType w:val="multilevel"/>
    <w:tmpl w:val="E5E89F92"/>
    <w:numStyleLink w:val="BulletList"/>
  </w:abstractNum>
  <w:abstractNum w:abstractNumId="37">
    <w:nsid w:val="6F032444"/>
    <w:multiLevelType w:val="multilevel"/>
    <w:tmpl w:val="E5E89F92"/>
    <w:numStyleLink w:val="BulletList"/>
  </w:abstractNum>
  <w:abstractNum w:abstractNumId="38">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C700E0"/>
    <w:multiLevelType w:val="multilevel"/>
    <w:tmpl w:val="E898CC72"/>
    <w:numStyleLink w:val="KeyPoints"/>
  </w:abstractNum>
  <w:abstractNum w:abstractNumId="4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nsid w:val="788260C9"/>
    <w:multiLevelType w:val="multilevel"/>
    <w:tmpl w:val="E898CC72"/>
    <w:numStyleLink w:val="KeyPoints"/>
  </w:abstractNum>
  <w:abstractNum w:abstractNumId="43">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8"/>
  </w:num>
  <w:num w:numId="6">
    <w:abstractNumId w:val="39"/>
  </w:num>
  <w:num w:numId="7">
    <w:abstractNumId w:val="34"/>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3"/>
  </w:num>
  <w:num w:numId="17">
    <w:abstractNumId w:val="12"/>
  </w:num>
  <w:num w:numId="18">
    <w:abstractNumId w:val="32"/>
  </w:num>
  <w:num w:numId="19">
    <w:abstractNumId w:val="11"/>
  </w:num>
  <w:num w:numId="20">
    <w:abstractNumId w:val="20"/>
  </w:num>
  <w:num w:numId="21">
    <w:abstractNumId w:val="14"/>
  </w:num>
  <w:num w:numId="22">
    <w:abstractNumId w:val="19"/>
  </w:num>
  <w:num w:numId="23">
    <w:abstractNumId w:val="27"/>
  </w:num>
  <w:num w:numId="24">
    <w:abstractNumId w:val="37"/>
  </w:num>
  <w:num w:numId="25">
    <w:abstractNumId w:val="33"/>
  </w:num>
  <w:num w:numId="26">
    <w:abstractNumId w:val="25"/>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6"/>
  </w:num>
  <w:num w:numId="32">
    <w:abstractNumId w:val="33"/>
  </w:num>
  <w:num w:numId="33">
    <w:abstractNumId w:val="28"/>
  </w:num>
  <w:num w:numId="34">
    <w:abstractNumId w:val="17"/>
  </w:num>
  <w:num w:numId="35">
    <w:abstractNumId w:val="30"/>
  </w:num>
  <w:num w:numId="36">
    <w:abstractNumId w:val="44"/>
  </w:num>
  <w:num w:numId="37">
    <w:abstractNumId w:val="44"/>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8"/>
  </w:num>
  <w:num w:numId="4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41D0"/>
    <w:rsid w:val="0034563E"/>
    <w:rsid w:val="003518D6"/>
    <w:rsid w:val="00353AD1"/>
    <w:rsid w:val="0035460C"/>
    <w:rsid w:val="003556BD"/>
    <w:rsid w:val="00365147"/>
    <w:rsid w:val="0037016E"/>
    <w:rsid w:val="00372908"/>
    <w:rsid w:val="00383020"/>
    <w:rsid w:val="00394D7E"/>
    <w:rsid w:val="003975FD"/>
    <w:rsid w:val="003A6BAB"/>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1E3D"/>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7382D"/>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1394"/>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53A"/>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96FB1"/>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60435"/>
    <w:rsid w:val="00D92C2E"/>
    <w:rsid w:val="00DA1B12"/>
    <w:rsid w:val="00DA54C9"/>
    <w:rsid w:val="00DA6739"/>
    <w:rsid w:val="00DA6CAE"/>
    <w:rsid w:val="00DB1A9E"/>
    <w:rsid w:val="00DB31D6"/>
    <w:rsid w:val="00DB4005"/>
    <w:rsid w:val="00DC34EB"/>
    <w:rsid w:val="00DE28EB"/>
    <w:rsid w:val="00DF1E5B"/>
    <w:rsid w:val="00DF2275"/>
    <w:rsid w:val="00DF3F5E"/>
    <w:rsid w:val="00DF5653"/>
    <w:rsid w:val="00E0596E"/>
    <w:rsid w:val="00E06F66"/>
    <w:rsid w:val="00E17059"/>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0BBE"/>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just15sp">
    <w:name w:val="just 1.5 sp"/>
    <w:basedOn w:val="Normal"/>
    <w:qFormat/>
    <w:rsid w:val="003A6BAB"/>
    <w:pPr>
      <w:spacing w:after="0" w:line="360" w:lineRule="auto"/>
      <w:jc w:val="both"/>
    </w:pPr>
    <w:rPr>
      <w:rFonts w:ascii="Times New Roman" w:eastAsiaTheme="minorHAnsi" w:hAnsi="Times New Roman" w:cstheme="minorBidi"/>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just15sp">
    <w:name w:val="just 1.5 sp"/>
    <w:basedOn w:val="Normal"/>
    <w:qFormat/>
    <w:rsid w:val="003A6BAB"/>
    <w:pPr>
      <w:spacing w:after="0" w:line="360" w:lineRule="auto"/>
      <w:jc w:val="both"/>
    </w:pPr>
    <w:rPr>
      <w:rFonts w:ascii="Times New Roman" w:eastAsiaTheme="minorHAnsi" w:hAnsi="Times New Roman" w:cstheme="minorBidi"/>
      <w:sz w:val="24"/>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5164</Characters>
  <Application>Microsoft Office Word</Application>
  <DocSecurity>0</DocSecurity>
  <Lines>43</Lines>
  <Paragraphs>12</Paragraphs>
  <ScaleCrop>false</ScaleCrop>
  <LinksUpToDate>false</LinksUpToDate>
  <CharactersWithSpaces>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021-griffith-university-att1.docx    </dc:title>
  <dc:creator/>
  <cp:lastModifiedBy/>
  <cp:revision>1</cp:revision>
  <dcterms:created xsi:type="dcterms:W3CDTF">2014-10-29T03:28:00Z</dcterms:created>
  <dcterms:modified xsi:type="dcterms:W3CDTF">2014-10-29T03:28:00Z</dcterms:modified>
</cp:coreProperties>
</file>