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AC" w:rsidRPr="007B4F81" w:rsidRDefault="007952AC" w:rsidP="00A17F75">
      <w:pPr>
        <w:pStyle w:val="Heading1"/>
        <w:tabs>
          <w:tab w:val="left" w:pos="3924"/>
        </w:tabs>
        <w:spacing w:after="120"/>
        <w:jc w:val="center"/>
        <w:rPr>
          <w:b w:val="0"/>
          <w:color w:val="365F91"/>
          <w:kern w:val="20"/>
          <w:sz w:val="28"/>
          <w:szCs w:val="28"/>
        </w:rPr>
      </w:pPr>
      <w:r w:rsidRPr="007B4F81">
        <w:rPr>
          <w:color w:val="365F91"/>
          <w:kern w:val="20"/>
          <w:sz w:val="28"/>
          <w:szCs w:val="28"/>
        </w:rPr>
        <w:t>Template</w:t>
      </w:r>
      <w:r w:rsidR="00C56567">
        <w:rPr>
          <w:color w:val="365F91"/>
          <w:kern w:val="20"/>
          <w:sz w:val="28"/>
          <w:szCs w:val="28"/>
        </w:rPr>
        <w:t xml:space="preserve"> FOR </w:t>
      </w:r>
      <w:r w:rsidR="004929E7">
        <w:rPr>
          <w:color w:val="365F91"/>
          <w:kern w:val="20"/>
          <w:sz w:val="28"/>
          <w:szCs w:val="28"/>
        </w:rPr>
        <w:t xml:space="preserve">INPUT INTO </w:t>
      </w:r>
      <w:r w:rsidR="00C56567">
        <w:rPr>
          <w:color w:val="365F91"/>
          <w:kern w:val="20"/>
          <w:sz w:val="28"/>
          <w:szCs w:val="28"/>
        </w:rPr>
        <w:t>THE</w:t>
      </w:r>
    </w:p>
    <w:p w:rsidR="007952AC" w:rsidRDefault="000341CC" w:rsidP="00A17F75">
      <w:pPr>
        <w:spacing w:after="120"/>
        <w:jc w:val="center"/>
        <w:rPr>
          <w:rFonts w:ascii="Arial" w:hAnsi="Arial"/>
          <w:b/>
          <w:color w:val="365F91"/>
          <w:kern w:val="20"/>
          <w:sz w:val="28"/>
          <w:szCs w:val="28"/>
        </w:rPr>
      </w:pPr>
      <w:r>
        <w:rPr>
          <w:rFonts w:ascii="Arial" w:hAnsi="Arial"/>
          <w:b/>
          <w:color w:val="365F91"/>
          <w:kern w:val="20"/>
          <w:sz w:val="28"/>
          <w:szCs w:val="28"/>
        </w:rPr>
        <w:t>AUSTRALIAN HERITAGE STRATEGY</w:t>
      </w:r>
      <w:r w:rsidR="007C3B3F">
        <w:rPr>
          <w:rFonts w:ascii="Arial" w:hAnsi="Arial"/>
          <w:b/>
          <w:color w:val="365F91"/>
          <w:kern w:val="20"/>
          <w:sz w:val="28"/>
          <w:szCs w:val="2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7119"/>
      </w:tblGrid>
      <w:tr w:rsidR="007952AC" w:rsidRPr="0032165A" w:rsidTr="00D92C2E">
        <w:tc>
          <w:tcPr>
            <w:tcW w:w="9926" w:type="dxa"/>
            <w:gridSpan w:val="2"/>
          </w:tcPr>
          <w:p w:rsidR="007952AC" w:rsidRPr="00E47C1D" w:rsidRDefault="007952AC" w:rsidP="000341CC">
            <w:pPr>
              <w:pStyle w:val="Style2"/>
              <w:keepNext w:val="0"/>
              <w:rPr>
                <w:color w:val="365F91"/>
              </w:rPr>
            </w:pPr>
            <w:r w:rsidRPr="00E47C1D">
              <w:rPr>
                <w:color w:val="365F91"/>
              </w:rPr>
              <w:t>Overview</w:t>
            </w:r>
          </w:p>
          <w:p w:rsidR="007952AC" w:rsidRPr="00766203" w:rsidRDefault="007952AC" w:rsidP="00E5475A">
            <w:pPr>
              <w:rPr>
                <w:rFonts w:ascii="Arial" w:hAnsi="Arial" w:cs="Arial"/>
              </w:rPr>
            </w:pPr>
            <w:r w:rsidRPr="00E75C2F">
              <w:rPr>
                <w:rFonts w:ascii="Arial" w:hAnsi="Arial" w:cs="Arial"/>
              </w:rPr>
              <w:t>This template shoul</w:t>
            </w:r>
            <w:r>
              <w:rPr>
                <w:rFonts w:ascii="Arial" w:hAnsi="Arial" w:cs="Arial"/>
              </w:rPr>
              <w:t xml:space="preserve">d be used to provide comments on the </w:t>
            </w:r>
            <w:r w:rsidR="00E5475A">
              <w:rPr>
                <w:rFonts w:ascii="Arial" w:hAnsi="Arial" w:cs="Arial"/>
              </w:rPr>
              <w:t>content</w:t>
            </w:r>
            <w:r w:rsidR="00230D89">
              <w:rPr>
                <w:rFonts w:ascii="Arial" w:hAnsi="Arial" w:cs="Arial"/>
              </w:rPr>
              <w:t xml:space="preserve"> of the </w:t>
            </w:r>
            <w:r w:rsidR="000341CC">
              <w:rPr>
                <w:rFonts w:ascii="Arial" w:hAnsi="Arial" w:cs="Arial"/>
              </w:rPr>
              <w:t>Australian Heritage Strategy</w:t>
            </w:r>
            <w:r>
              <w:rPr>
                <w:rFonts w:ascii="Arial" w:hAnsi="Arial" w:cs="Arial"/>
              </w:rPr>
              <w:t>.</w:t>
            </w:r>
            <w:r>
              <w:t xml:space="preserve"> </w:t>
            </w:r>
          </w:p>
        </w:tc>
      </w:tr>
      <w:tr w:rsidR="007952AC" w:rsidRPr="0032165A" w:rsidTr="00D92C2E">
        <w:trPr>
          <w:trHeight w:val="442"/>
        </w:trPr>
        <w:tc>
          <w:tcPr>
            <w:tcW w:w="9926" w:type="dxa"/>
            <w:gridSpan w:val="2"/>
          </w:tcPr>
          <w:p w:rsidR="007952AC" w:rsidRPr="00E47C1D" w:rsidRDefault="007952AC" w:rsidP="000341CC">
            <w:pPr>
              <w:pStyle w:val="Style2"/>
              <w:keepNext w:val="0"/>
              <w:rPr>
                <w:rFonts w:cs="Arial"/>
                <w:color w:val="365F91"/>
              </w:rPr>
            </w:pPr>
            <w:r w:rsidRPr="00E47C1D">
              <w:rPr>
                <w:color w:val="365F91"/>
              </w:rPr>
              <w:t>Contact Details</w:t>
            </w:r>
          </w:p>
        </w:tc>
      </w:tr>
      <w:tr w:rsidR="007952AC" w:rsidRPr="0032165A" w:rsidTr="00D92C2E">
        <w:trPr>
          <w:trHeight w:val="336"/>
        </w:trPr>
        <w:tc>
          <w:tcPr>
            <w:tcW w:w="2807" w:type="dxa"/>
          </w:tcPr>
          <w:p w:rsidR="007952AC" w:rsidRPr="0032165A" w:rsidRDefault="007952AC" w:rsidP="000341CC">
            <w:pPr>
              <w:rPr>
                <w:rFonts w:ascii="Arial" w:hAnsi="Arial" w:cs="Arial"/>
                <w:b/>
                <w:lang w:val="en-GB"/>
              </w:rPr>
            </w:pPr>
            <w:r w:rsidRPr="0032165A">
              <w:rPr>
                <w:rFonts w:ascii="Arial" w:hAnsi="Arial" w:cs="Arial"/>
                <w:b/>
                <w:lang w:val="en-GB"/>
              </w:rPr>
              <w:t>Name of Organisation:</w:t>
            </w:r>
          </w:p>
        </w:tc>
        <w:tc>
          <w:tcPr>
            <w:tcW w:w="7119" w:type="dxa"/>
          </w:tcPr>
          <w:p w:rsidR="007952AC" w:rsidRPr="0032165A" w:rsidRDefault="00D73D01" w:rsidP="00D73D01">
            <w:pPr>
              <w:rPr>
                <w:rFonts w:ascii="Arial" w:hAnsi="Arial" w:cs="Arial"/>
              </w:rPr>
            </w:pPr>
            <w:r>
              <w:rPr>
                <w:rFonts w:ascii="Arial" w:hAnsi="Arial" w:cs="Arial"/>
              </w:rPr>
              <w:t xml:space="preserve">Cultural Heritage, </w:t>
            </w:r>
            <w:r w:rsidR="00132250">
              <w:rPr>
                <w:rFonts w:ascii="Arial" w:hAnsi="Arial" w:cs="Arial"/>
              </w:rPr>
              <w:t xml:space="preserve">School of Built Environment, </w:t>
            </w:r>
            <w:r>
              <w:rPr>
                <w:rFonts w:ascii="Arial" w:hAnsi="Arial" w:cs="Arial"/>
              </w:rPr>
              <w:t>Curtin University</w:t>
            </w:r>
          </w:p>
        </w:tc>
      </w:tr>
      <w:tr w:rsidR="008F0D14" w:rsidRPr="0032165A" w:rsidTr="00D92C2E">
        <w:trPr>
          <w:trHeight w:val="336"/>
        </w:trPr>
        <w:tc>
          <w:tcPr>
            <w:tcW w:w="2807" w:type="dxa"/>
          </w:tcPr>
          <w:p w:rsidR="008F0D14" w:rsidRPr="0032165A" w:rsidRDefault="008F0D14" w:rsidP="000341CC">
            <w:pPr>
              <w:rPr>
                <w:rFonts w:ascii="Arial" w:hAnsi="Arial" w:cs="Arial"/>
                <w:b/>
                <w:lang w:val="en-GB"/>
              </w:rPr>
            </w:pPr>
            <w:r w:rsidRPr="0032165A">
              <w:rPr>
                <w:rFonts w:ascii="Arial" w:hAnsi="Arial" w:cs="Arial"/>
                <w:b/>
                <w:lang w:val="en-GB"/>
              </w:rPr>
              <w:t>Name of Author:</w:t>
            </w:r>
          </w:p>
        </w:tc>
        <w:tc>
          <w:tcPr>
            <w:tcW w:w="7119" w:type="dxa"/>
          </w:tcPr>
          <w:p w:rsidR="008F0D14" w:rsidRPr="00D73D01" w:rsidRDefault="00D73D01" w:rsidP="00D73D01">
            <w:pPr>
              <w:rPr>
                <w:rFonts w:ascii="Arial" w:hAnsi="Arial" w:cs="Arial"/>
                <w:lang w:val="en-GB"/>
              </w:rPr>
            </w:pPr>
            <w:r w:rsidRPr="00D73D01">
              <w:rPr>
                <w:rFonts w:ascii="Arial" w:hAnsi="Arial" w:cs="Arial"/>
                <w:lang w:val="en-GB"/>
              </w:rPr>
              <w:t>Dr Jennifer Harris</w:t>
            </w:r>
          </w:p>
        </w:tc>
      </w:tr>
      <w:tr w:rsidR="007952AC" w:rsidRPr="0032165A" w:rsidTr="00D92C2E">
        <w:trPr>
          <w:trHeight w:val="336"/>
        </w:trPr>
        <w:tc>
          <w:tcPr>
            <w:tcW w:w="2807" w:type="dxa"/>
          </w:tcPr>
          <w:p w:rsidR="007952AC" w:rsidRPr="0032165A" w:rsidRDefault="008F0D14" w:rsidP="000341CC">
            <w:pPr>
              <w:rPr>
                <w:rFonts w:ascii="Arial" w:hAnsi="Arial" w:cs="Arial"/>
                <w:b/>
                <w:lang w:val="en-GB"/>
              </w:rPr>
            </w:pPr>
            <w:r>
              <w:rPr>
                <w:rFonts w:ascii="Arial" w:hAnsi="Arial" w:cs="Arial"/>
                <w:b/>
                <w:lang w:val="en-GB"/>
              </w:rPr>
              <w:t>Date:</w:t>
            </w:r>
          </w:p>
        </w:tc>
        <w:tc>
          <w:tcPr>
            <w:tcW w:w="7119" w:type="dxa"/>
          </w:tcPr>
          <w:p w:rsidR="007952AC" w:rsidRPr="00D73D01" w:rsidRDefault="00132250" w:rsidP="00D73D01">
            <w:pPr>
              <w:rPr>
                <w:rFonts w:ascii="Arial" w:hAnsi="Arial" w:cs="Arial"/>
                <w:lang w:val="en-GB"/>
              </w:rPr>
            </w:pPr>
            <w:r>
              <w:rPr>
                <w:rFonts w:ascii="Arial" w:hAnsi="Arial" w:cs="Arial"/>
                <w:lang w:val="en-GB"/>
              </w:rPr>
              <w:t>28</w:t>
            </w:r>
            <w:r w:rsidR="00D73D01" w:rsidRPr="00D73D01">
              <w:rPr>
                <w:rFonts w:ascii="Arial" w:hAnsi="Arial" w:cs="Arial"/>
                <w:lang w:val="en-GB"/>
              </w:rPr>
              <w:t xml:space="preserve"> May 2014</w:t>
            </w:r>
          </w:p>
        </w:tc>
      </w:tr>
      <w:tr w:rsidR="007952AC" w:rsidTr="007C3B3F">
        <w:tc>
          <w:tcPr>
            <w:tcW w:w="9926" w:type="dxa"/>
            <w:gridSpan w:val="2"/>
            <w:tcBorders>
              <w:left w:val="nil"/>
              <w:right w:val="nil"/>
            </w:tcBorders>
          </w:tcPr>
          <w:p w:rsidR="007C3B3F" w:rsidRPr="007C3B3F" w:rsidRDefault="007C3B3F" w:rsidP="007F1A58">
            <w:pPr>
              <w:spacing w:after="0" w:line="240" w:lineRule="auto"/>
            </w:pPr>
          </w:p>
        </w:tc>
      </w:tr>
      <w:tr w:rsidR="007C3B3F" w:rsidTr="00B146BD">
        <w:tc>
          <w:tcPr>
            <w:tcW w:w="9926" w:type="dxa"/>
            <w:gridSpan w:val="2"/>
            <w:tcBorders>
              <w:bottom w:val="single" w:sz="4" w:space="0" w:color="auto"/>
            </w:tcBorders>
          </w:tcPr>
          <w:p w:rsidR="007F1A58" w:rsidRPr="007F1A58" w:rsidRDefault="007F1A58" w:rsidP="007F1A58">
            <w:pPr>
              <w:pStyle w:val="Style2"/>
              <w:keepNext w:val="0"/>
              <w:rPr>
                <w:color w:val="365F91"/>
              </w:rPr>
            </w:pPr>
            <w:r w:rsidRPr="007F1A58">
              <w:rPr>
                <w:color w:val="365F91"/>
              </w:rPr>
              <w:t>Q</w:t>
            </w:r>
            <w:r>
              <w:rPr>
                <w:color w:val="365F91"/>
              </w:rPr>
              <w:t>uestions</w:t>
            </w:r>
          </w:p>
          <w:p w:rsidR="008F10D7" w:rsidRPr="00BE789F" w:rsidRDefault="008F10D7" w:rsidP="00E5475A">
            <w:pPr>
              <w:spacing w:before="200"/>
              <w:rPr>
                <w:i/>
              </w:rPr>
            </w:pPr>
            <w:r w:rsidRPr="008F10D7">
              <w:rPr>
                <w:rFonts w:ascii="Arial" w:hAnsi="Arial" w:cs="Arial"/>
              </w:rPr>
              <w:t xml:space="preserve">Please add your comments for some </w:t>
            </w:r>
            <w:r>
              <w:rPr>
                <w:rFonts w:ascii="Arial" w:hAnsi="Arial" w:cs="Arial"/>
              </w:rPr>
              <w:t xml:space="preserve">or all </w:t>
            </w:r>
            <w:r w:rsidRPr="008F10D7">
              <w:rPr>
                <w:rFonts w:ascii="Arial" w:hAnsi="Arial" w:cs="Arial"/>
              </w:rPr>
              <w:t xml:space="preserve">of the questions </w:t>
            </w:r>
            <w:r w:rsidR="00E5475A">
              <w:rPr>
                <w:rFonts w:ascii="Arial" w:hAnsi="Arial" w:cs="Arial"/>
              </w:rPr>
              <w:t xml:space="preserve">provided with the Strategy’s three high level themes </w:t>
            </w:r>
            <w:r w:rsidRPr="008F10D7">
              <w:rPr>
                <w:rFonts w:ascii="Arial" w:hAnsi="Arial" w:cs="Arial"/>
              </w:rPr>
              <w:t xml:space="preserve">below. If you have other information you wish to </w:t>
            </w:r>
            <w:r>
              <w:rPr>
                <w:rFonts w:ascii="Arial" w:hAnsi="Arial" w:cs="Arial"/>
              </w:rPr>
              <w:t>provide</w:t>
            </w:r>
            <w:r w:rsidRPr="008F10D7">
              <w:rPr>
                <w:rFonts w:ascii="Arial" w:hAnsi="Arial" w:cs="Arial"/>
              </w:rPr>
              <w:t xml:space="preserve">, please add this in the </w:t>
            </w:r>
            <w:r w:rsidR="00E5475A">
              <w:rPr>
                <w:rFonts w:ascii="Arial" w:hAnsi="Arial" w:cs="Arial"/>
              </w:rPr>
              <w:t>“O</w:t>
            </w:r>
            <w:r w:rsidRPr="008F10D7">
              <w:rPr>
                <w:rFonts w:ascii="Arial" w:hAnsi="Arial" w:cs="Arial"/>
              </w:rPr>
              <w:t>ther comments</w:t>
            </w:r>
            <w:r w:rsidR="00E5475A">
              <w:rPr>
                <w:rFonts w:ascii="Arial" w:hAnsi="Arial" w:cs="Arial"/>
              </w:rPr>
              <w:t>”</w:t>
            </w:r>
            <w:r w:rsidRPr="008F10D7">
              <w:rPr>
                <w:rFonts w:ascii="Arial" w:hAnsi="Arial" w:cs="Arial"/>
              </w:rPr>
              <w:t xml:space="preserve"> field.</w:t>
            </w:r>
          </w:p>
        </w:tc>
      </w:tr>
      <w:tr w:rsidR="003D3C13" w:rsidTr="00B146BD">
        <w:tc>
          <w:tcPr>
            <w:tcW w:w="9926" w:type="dxa"/>
            <w:gridSpan w:val="2"/>
            <w:shd w:val="clear" w:color="auto" w:fill="C6D9F1" w:themeFill="text2" w:themeFillTint="33"/>
          </w:tcPr>
          <w:p w:rsidR="005D4CD1" w:rsidRPr="005D4CD1" w:rsidRDefault="005D4CD1" w:rsidP="005D4CD1">
            <w:pPr>
              <w:pStyle w:val="ListNumber"/>
              <w:rPr>
                <w:b/>
              </w:rPr>
            </w:pPr>
            <w:r w:rsidRPr="005D4CD1">
              <w:rPr>
                <w:b/>
              </w:rPr>
              <w:t xml:space="preserve">Improve National Leadership </w:t>
            </w:r>
          </w:p>
          <w:p w:rsidR="005D4CD1" w:rsidRPr="005D4CD1" w:rsidRDefault="005D4CD1" w:rsidP="005D4CD1">
            <w:pPr>
              <w:ind w:left="369"/>
              <w:rPr>
                <w:rFonts w:ascii="Arial" w:hAnsi="Arial" w:cs="Arial"/>
              </w:rPr>
            </w:pPr>
            <w:r w:rsidRPr="005D4CD1">
              <w:rPr>
                <w:rFonts w:ascii="Arial" w:hAnsi="Arial" w:cs="Arial"/>
              </w:rPr>
              <w:t>What are the most important things the Australian Government should be doing to offer leadership in heritage?</w:t>
            </w:r>
          </w:p>
          <w:p w:rsidR="005D4CD1" w:rsidRPr="005D4CD1" w:rsidRDefault="005D4CD1" w:rsidP="005D4CD1">
            <w:pPr>
              <w:ind w:left="369"/>
              <w:rPr>
                <w:rFonts w:ascii="Arial" w:hAnsi="Arial" w:cs="Arial"/>
              </w:rPr>
            </w:pPr>
            <w:r w:rsidRPr="005D4CD1">
              <w:rPr>
                <w:rFonts w:ascii="Arial" w:hAnsi="Arial" w:cs="Arial"/>
              </w:rPr>
              <w:t xml:space="preserve">How can the Australian Government provide guidance and support for our national heritage—while still empowering other government, industry and community members to take responsibility and get involved? </w:t>
            </w:r>
          </w:p>
          <w:p w:rsidR="005D4CD1" w:rsidRPr="005D4CD1" w:rsidRDefault="005D4CD1" w:rsidP="005D4CD1">
            <w:pPr>
              <w:ind w:left="369"/>
              <w:rPr>
                <w:rFonts w:ascii="Arial" w:hAnsi="Arial" w:cs="Arial"/>
              </w:rPr>
            </w:pPr>
            <w:r w:rsidRPr="005D4CD1">
              <w:rPr>
                <w:rFonts w:ascii="Arial" w:hAnsi="Arial" w:cs="Arial"/>
              </w:rPr>
              <w:t>What priority areas are important to you, your organisation or group?</w:t>
            </w:r>
          </w:p>
          <w:p w:rsidR="003D3C13" w:rsidRDefault="005D4CD1" w:rsidP="005D4CD1">
            <w:pPr>
              <w:ind w:left="369"/>
            </w:pPr>
            <w:r w:rsidRPr="005D4CD1">
              <w:rPr>
                <w:rFonts w:ascii="Arial" w:hAnsi="Arial" w:cs="Arial"/>
              </w:rPr>
              <w:t>What practical actions would you suggest to improve national heritage leadership?</w:t>
            </w:r>
          </w:p>
        </w:tc>
      </w:tr>
      <w:tr w:rsidR="003D3C13" w:rsidTr="00B146BD">
        <w:trPr>
          <w:trHeight w:val="1184"/>
        </w:trPr>
        <w:tc>
          <w:tcPr>
            <w:tcW w:w="9926" w:type="dxa"/>
            <w:gridSpan w:val="2"/>
            <w:tcBorders>
              <w:bottom w:val="single" w:sz="4" w:space="0" w:color="auto"/>
            </w:tcBorders>
          </w:tcPr>
          <w:p w:rsidR="003D3C13" w:rsidRDefault="003D3C13" w:rsidP="003D3C13">
            <w:pPr>
              <w:spacing w:before="60" w:after="60" w:line="240" w:lineRule="auto"/>
              <w:outlineLvl w:val="1"/>
              <w:rPr>
                <w:rFonts w:asciiTheme="minorHAnsi" w:hAnsiTheme="minorHAnsi"/>
                <w:sz w:val="24"/>
                <w:szCs w:val="24"/>
                <w:lang w:eastAsia="en-AU"/>
              </w:rPr>
            </w:pPr>
          </w:p>
          <w:p w:rsidR="00D73D01" w:rsidRDefault="00D73D01" w:rsidP="00D73D01">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The Australian government should lead the way in linking practical heritage work to scholarship</w:t>
            </w:r>
            <w:r w:rsidR="00633DFB">
              <w:rPr>
                <w:rFonts w:asciiTheme="minorHAnsi" w:hAnsiTheme="minorHAnsi"/>
                <w:sz w:val="24"/>
                <w:szCs w:val="24"/>
                <w:lang w:eastAsia="en-AU"/>
              </w:rPr>
              <w:t xml:space="preserve">; </w:t>
            </w:r>
            <w:r w:rsidR="00633DFB">
              <w:t>Australia has a vibrant heritage scholarship which is not evident in this document.  Th</w:t>
            </w:r>
            <w:r>
              <w:rPr>
                <w:rFonts w:asciiTheme="minorHAnsi" w:hAnsiTheme="minorHAnsi"/>
                <w:sz w:val="24"/>
                <w:szCs w:val="24"/>
                <w:lang w:eastAsia="en-AU"/>
              </w:rPr>
              <w:t xml:space="preserve">e lack of scholarly input is </w:t>
            </w:r>
            <w:r w:rsidR="00633DFB">
              <w:rPr>
                <w:rFonts w:asciiTheme="minorHAnsi" w:hAnsiTheme="minorHAnsi"/>
                <w:sz w:val="24"/>
                <w:szCs w:val="24"/>
                <w:lang w:eastAsia="en-AU"/>
              </w:rPr>
              <w:t xml:space="preserve">particularly </w:t>
            </w:r>
            <w:r>
              <w:rPr>
                <w:rFonts w:asciiTheme="minorHAnsi" w:hAnsiTheme="minorHAnsi"/>
                <w:sz w:val="24"/>
                <w:szCs w:val="24"/>
                <w:lang w:eastAsia="en-AU"/>
              </w:rPr>
              <w:t xml:space="preserve">evident when it comes to the question: </w:t>
            </w:r>
            <w:r w:rsidRPr="00633DFB">
              <w:rPr>
                <w:rFonts w:asciiTheme="minorHAnsi" w:hAnsiTheme="minorHAnsi"/>
                <w:b/>
                <w:sz w:val="24"/>
                <w:szCs w:val="24"/>
                <w:lang w:eastAsia="en-AU"/>
              </w:rPr>
              <w:t>what is heritage?</w:t>
            </w:r>
          </w:p>
          <w:p w:rsidR="00D73D01" w:rsidRDefault="00D73D01" w:rsidP="00D73D01">
            <w:pPr>
              <w:spacing w:before="60" w:after="60" w:line="240" w:lineRule="auto"/>
              <w:outlineLvl w:val="1"/>
            </w:pPr>
            <w:r>
              <w:t xml:space="preserve">It would be useful to bring definitions of the concept much earlier than p. 12 and the small box on p.15. Most scholars in the field of heritage work with the concept of heritage as a form of representation; the strategy is hampered by referring to heritage in such a way that it seems to be outside representation and historical contexts.  If the Department of Environment worked with the concept of heritage as being a form of representation then the vagaries of historical fashion would be more </w:t>
            </w:r>
            <w:r w:rsidR="00633DFB">
              <w:t>effectively countered i</w:t>
            </w:r>
            <w:r>
              <w:t xml:space="preserve">n the future. </w:t>
            </w:r>
          </w:p>
          <w:p w:rsidR="005D4CD1" w:rsidRDefault="00D73D01" w:rsidP="00D73D01">
            <w:pPr>
              <w:spacing w:before="60" w:after="60" w:line="240" w:lineRule="auto"/>
              <w:outlineLvl w:val="1"/>
            </w:pPr>
            <w:r>
              <w:t xml:space="preserve">The apparent self-evident quality of the </w:t>
            </w:r>
            <w:r w:rsidR="00B416AA">
              <w:t>often assumed</w:t>
            </w:r>
            <w:r>
              <w:t xml:space="preserve"> material foundation of heritage tends to occlude theoretical considerations. The alarming finding by Deakin University (p. 25) that many people understand heritage as simply “history” and “old buildings” underscores the urgent need for government leadership in developing a critical public history / memory sphere.  Film culture is a good comparison to heritage culture; like heritage it occupies an everyday, highly accessible part of Australian public life, but is enriched by lively </w:t>
            </w:r>
            <w:r>
              <w:lastRenderedPageBreak/>
              <w:t xml:space="preserve">public debate that is virtually absent from heritage representation. </w:t>
            </w:r>
            <w:r w:rsidR="00B416AA">
              <w:t xml:space="preserve"> </w:t>
            </w:r>
            <w:r>
              <w:t xml:space="preserve">Please note that I differentiate between the vigorous public </w:t>
            </w:r>
            <w:proofErr w:type="gramStart"/>
            <w:r>
              <w:t>debate</w:t>
            </w:r>
            <w:proofErr w:type="gramEnd"/>
            <w:r>
              <w:t xml:space="preserve"> accompanying some historical issues, for example, the institutional abuse of children</w:t>
            </w:r>
            <w:r w:rsidR="00633DFB">
              <w:t xml:space="preserve">, </w:t>
            </w:r>
            <w:r>
              <w:t xml:space="preserve">which takes place </w:t>
            </w:r>
            <w:r w:rsidR="00B416AA">
              <w:t xml:space="preserve">via </w:t>
            </w:r>
            <w:r>
              <w:t>journalism</w:t>
            </w:r>
            <w:r w:rsidR="00633DFB">
              <w:t>,</w:t>
            </w:r>
            <w:r>
              <w:t xml:space="preserve"> and the virtual absence of debate a</w:t>
            </w:r>
            <w:r w:rsidR="00B416AA">
              <w:t>bout</w:t>
            </w:r>
            <w:r>
              <w:t xml:space="preserve"> the representation of heritage. The difference between a critical public film culture and its missing heritage counterpart highlights an urgent need for the </w:t>
            </w:r>
            <w:proofErr w:type="gramStart"/>
            <w:r>
              <w:t>Department  of</w:t>
            </w:r>
            <w:proofErr w:type="gramEnd"/>
            <w:r>
              <w:t xml:space="preserve"> the Environment to inform its work with the advances of heritage scholars and work towards developing more sophisticated understandings of heritage and fostering debate in the field.</w:t>
            </w:r>
          </w:p>
          <w:p w:rsidR="00D73D01" w:rsidRDefault="00D73D01" w:rsidP="00D73D01">
            <w:pPr>
              <w:spacing w:before="60" w:after="60" w:line="240" w:lineRule="auto"/>
              <w:outlineLvl w:val="1"/>
            </w:pPr>
          </w:p>
          <w:p w:rsidR="00D73D01" w:rsidRDefault="00D73D01" w:rsidP="00D73D01">
            <w:r w:rsidRPr="00053B5F">
              <w:rPr>
                <w:b/>
              </w:rPr>
              <w:t>Celebration</w:t>
            </w:r>
            <w:r>
              <w:t xml:space="preserve">: the concept of celebration frames the strategy and is particularly evident in the Minister’s Forward. I urge you to abandon this concept despite its useful, positive tones in approaching the public. When celebration is used to describe heritage actions it tends to skew what can be called “heritage” towards an easy, non-confrontational approach to representing the past. It also skews heritage actions towards being weighted unevenly in favour of highly aesthetic architecture. There are many aspects of Australia’s past that we do not celebrate, for example, the taking of the Stolen </w:t>
            </w:r>
            <w:proofErr w:type="gramStart"/>
            <w:r>
              <w:t>Generation,</w:t>
            </w:r>
            <w:proofErr w:type="gramEnd"/>
            <w:r>
              <w:t xml:space="preserve"> nevertheless, we </w:t>
            </w:r>
            <w:r w:rsidR="00B416AA">
              <w:t xml:space="preserve">understand </w:t>
            </w:r>
            <w:r>
              <w:t>a duty to remember. Commemoration would be a better approach to heritage combined with the concept of critical public debate outlined</w:t>
            </w:r>
            <w:r w:rsidR="00633DFB">
              <w:t xml:space="preserve"> above</w:t>
            </w:r>
            <w:r>
              <w:t>.</w:t>
            </w:r>
          </w:p>
          <w:p w:rsidR="009A4CEC" w:rsidRDefault="009A4CEC" w:rsidP="00D73D01"/>
          <w:p w:rsidR="009A4CEC" w:rsidRPr="00C539D7" w:rsidRDefault="009A4CEC" w:rsidP="009A4CEC">
            <w:r w:rsidRPr="00C539D7">
              <w:rPr>
                <w:b/>
              </w:rPr>
              <w:t>Contribution to international heritage standards setting and guidance</w:t>
            </w:r>
            <w:r w:rsidRPr="00C539D7">
              <w:t>:  the aim to contribute internationally is incongruous in light of the non-ratification of the UNESCO “Convention on the Protection of the Underwater Cultural Heritage 2001” adopted by UNESCO 3 November 2001. It came into force on 2 January 2009 following ratification by 20 UNESCO member states. As of 28 April this year, it has been ratified by 48 UNESCO members (including the non-state member Palestine)</w:t>
            </w:r>
            <w:r w:rsidR="00B416AA">
              <w:t xml:space="preserve">, </w:t>
            </w:r>
            <w:r w:rsidRPr="00C539D7">
              <w:t xml:space="preserve">but not by Australia.  I urge attention to the ratification as a matter of urgency. </w:t>
            </w:r>
          </w:p>
          <w:p w:rsidR="008F10D7" w:rsidRDefault="008F10D7" w:rsidP="003D3C13">
            <w:pPr>
              <w:spacing w:before="60" w:after="60" w:line="240" w:lineRule="auto"/>
              <w:outlineLvl w:val="1"/>
              <w:rPr>
                <w:rFonts w:asciiTheme="minorHAnsi" w:hAnsiTheme="minorHAnsi"/>
                <w:sz w:val="24"/>
                <w:szCs w:val="24"/>
                <w:lang w:eastAsia="en-AU"/>
              </w:rPr>
            </w:pPr>
          </w:p>
        </w:tc>
      </w:tr>
      <w:tr w:rsidR="003D3C13" w:rsidTr="00B146BD">
        <w:trPr>
          <w:trHeight w:val="809"/>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lastRenderedPageBreak/>
              <w:t>Pursue Innovative Partnerships</w:t>
            </w:r>
          </w:p>
          <w:p w:rsidR="005D4CD1" w:rsidRPr="005D4CD1" w:rsidRDefault="005D4CD1" w:rsidP="005D4CD1">
            <w:pPr>
              <w:ind w:left="369"/>
              <w:rPr>
                <w:rFonts w:ascii="Arial" w:hAnsi="Arial" w:cs="Arial"/>
              </w:rPr>
            </w:pPr>
            <w:r w:rsidRPr="005D4CD1">
              <w:rPr>
                <w:rFonts w:ascii="Arial" w:hAnsi="Arial" w:cs="Arial"/>
              </w:rPr>
              <w:t xml:space="preserve">What partnerships are most needed within the heritage sector? </w:t>
            </w:r>
          </w:p>
          <w:p w:rsidR="005D4CD1" w:rsidRPr="005D4CD1" w:rsidRDefault="005D4CD1" w:rsidP="005D4CD1">
            <w:pPr>
              <w:ind w:left="369"/>
              <w:rPr>
                <w:rFonts w:ascii="Arial" w:hAnsi="Arial" w:cs="Arial"/>
              </w:rPr>
            </w:pPr>
            <w:r w:rsidRPr="005D4CD1">
              <w:rPr>
                <w:rFonts w:ascii="Arial" w:hAnsi="Arial" w:cs="Arial"/>
              </w:rPr>
              <w:t>What heritage roles and responsibilities should be led by governments, peak heritage organisations or community groups in the 21</w:t>
            </w:r>
            <w:r w:rsidRPr="005D4CD1">
              <w:rPr>
                <w:rFonts w:ascii="Arial" w:hAnsi="Arial" w:cs="Arial"/>
                <w:vertAlign w:val="superscript"/>
              </w:rPr>
              <w:t>st</w:t>
            </w:r>
            <w:r w:rsidRPr="005D4CD1">
              <w:rPr>
                <w:rFonts w:ascii="Arial" w:hAnsi="Arial" w:cs="Arial"/>
              </w:rPr>
              <w:t xml:space="preserve"> century? </w:t>
            </w:r>
          </w:p>
          <w:p w:rsidR="005D4CD1" w:rsidRPr="005D4CD1" w:rsidRDefault="005D4CD1" w:rsidP="005D4CD1">
            <w:pPr>
              <w:ind w:left="369"/>
              <w:rPr>
                <w:rFonts w:ascii="Arial" w:hAnsi="Arial" w:cs="Arial"/>
              </w:rPr>
            </w:pPr>
            <w:r w:rsidRPr="005D4CD1">
              <w:rPr>
                <w:rFonts w:ascii="Arial" w:hAnsi="Arial" w:cs="Arial"/>
              </w:rPr>
              <w:t xml:space="preserve">How should resources be shared through heritage partnerships to ensure the greatest return on agreed priorities? </w:t>
            </w:r>
          </w:p>
          <w:p w:rsidR="005D4CD1" w:rsidRPr="005D4CD1" w:rsidRDefault="005D4CD1" w:rsidP="005D4CD1">
            <w:pPr>
              <w:ind w:left="369"/>
              <w:rPr>
                <w:rFonts w:ascii="Arial" w:hAnsi="Arial" w:cs="Arial"/>
              </w:rPr>
            </w:pPr>
            <w:r w:rsidRPr="005D4CD1">
              <w:rPr>
                <w:rFonts w:ascii="Arial" w:hAnsi="Arial" w:cs="Arial"/>
              </w:rPr>
              <w:t>Can you provide examples of successful innovative partnerships you or your organisation have established?</w:t>
            </w:r>
          </w:p>
          <w:p w:rsidR="003D3C13" w:rsidRDefault="003D3C13" w:rsidP="00C56567">
            <w:pPr>
              <w:spacing w:before="60" w:after="60" w:line="240" w:lineRule="auto"/>
              <w:outlineLvl w:val="1"/>
              <w:rPr>
                <w:rFonts w:asciiTheme="minorHAnsi" w:hAnsiTheme="minorHAnsi"/>
                <w:sz w:val="24"/>
                <w:szCs w:val="24"/>
                <w:lang w:eastAsia="en-AU"/>
              </w:rPr>
            </w:pPr>
          </w:p>
        </w:tc>
      </w:tr>
      <w:tr w:rsidR="003D3C13" w:rsidTr="00B146BD">
        <w:trPr>
          <w:trHeight w:val="1119"/>
        </w:trPr>
        <w:tc>
          <w:tcPr>
            <w:tcW w:w="9926" w:type="dxa"/>
            <w:gridSpan w:val="2"/>
            <w:tcBorders>
              <w:bottom w:val="single" w:sz="4" w:space="0" w:color="auto"/>
            </w:tcBorders>
          </w:tcPr>
          <w:p w:rsidR="003D3C13" w:rsidRDefault="003D3C13" w:rsidP="003D3C13">
            <w:pPr>
              <w:spacing w:before="60" w:after="60" w:line="240" w:lineRule="auto"/>
              <w:outlineLvl w:val="1"/>
              <w:rPr>
                <w:rFonts w:asciiTheme="minorHAnsi" w:hAnsiTheme="minorHAnsi"/>
                <w:sz w:val="24"/>
                <w:szCs w:val="24"/>
                <w:lang w:eastAsia="en-AU"/>
              </w:rPr>
            </w:pPr>
          </w:p>
          <w:p w:rsidR="005D4CD1" w:rsidRDefault="00633DFB"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 xml:space="preserve">The Australian Government needs to </w:t>
            </w:r>
            <w:r w:rsidR="00AE0785">
              <w:rPr>
                <w:rFonts w:asciiTheme="minorHAnsi" w:hAnsiTheme="minorHAnsi"/>
                <w:sz w:val="24"/>
                <w:szCs w:val="24"/>
                <w:lang w:eastAsia="en-AU"/>
              </w:rPr>
              <w:t>partner with s</w:t>
            </w:r>
            <w:r>
              <w:rPr>
                <w:rFonts w:asciiTheme="minorHAnsi" w:hAnsiTheme="minorHAnsi"/>
                <w:sz w:val="24"/>
                <w:szCs w:val="24"/>
                <w:lang w:eastAsia="en-AU"/>
              </w:rPr>
              <w:t>cholars.</w:t>
            </w:r>
          </w:p>
          <w:p w:rsidR="005D4CD1" w:rsidRDefault="005D4CD1" w:rsidP="003D3C13">
            <w:pPr>
              <w:spacing w:before="60" w:after="60" w:line="240" w:lineRule="auto"/>
              <w:outlineLvl w:val="1"/>
              <w:rPr>
                <w:rFonts w:asciiTheme="minorHAnsi" w:hAnsiTheme="minorHAnsi"/>
                <w:sz w:val="24"/>
                <w:szCs w:val="24"/>
                <w:lang w:eastAsia="en-AU"/>
              </w:rPr>
            </w:pPr>
          </w:p>
        </w:tc>
      </w:tr>
      <w:tr w:rsidR="003D3C13" w:rsidTr="00B146BD">
        <w:trPr>
          <w:trHeight w:val="458"/>
        </w:trPr>
        <w:tc>
          <w:tcPr>
            <w:tcW w:w="9926" w:type="dxa"/>
            <w:gridSpan w:val="2"/>
            <w:shd w:val="clear" w:color="auto" w:fill="C6D9F1" w:themeFill="text2" w:themeFillTint="33"/>
          </w:tcPr>
          <w:p w:rsidR="005D4CD1" w:rsidRPr="005D4CD1" w:rsidRDefault="005D4CD1" w:rsidP="005D4CD1">
            <w:pPr>
              <w:pStyle w:val="ListNumber"/>
              <w:rPr>
                <w:b/>
              </w:rPr>
            </w:pPr>
            <w:r w:rsidRPr="005D4CD1">
              <w:rPr>
                <w:b/>
              </w:rPr>
              <w:t>Enable encourage communities to understand and care for their heritage</w:t>
            </w:r>
          </w:p>
          <w:p w:rsidR="005D4CD1" w:rsidRPr="005D4CD1" w:rsidRDefault="005D4CD1" w:rsidP="005D4CD1">
            <w:pPr>
              <w:ind w:left="369"/>
              <w:rPr>
                <w:rFonts w:ascii="Arial" w:hAnsi="Arial" w:cs="Arial"/>
              </w:rPr>
            </w:pPr>
            <w:r w:rsidRPr="005D4CD1">
              <w:rPr>
                <w:rFonts w:ascii="Arial" w:hAnsi="Arial" w:cs="Arial"/>
              </w:rPr>
              <w:t xml:space="preserve">What should the Australian heritage sector be doing to help the Australian community better </w:t>
            </w:r>
            <w:r w:rsidRPr="005D4CD1">
              <w:rPr>
                <w:rFonts w:ascii="Arial" w:hAnsi="Arial" w:cs="Arial"/>
              </w:rPr>
              <w:lastRenderedPageBreak/>
              <w:t xml:space="preserve">engage in heritage activities? </w:t>
            </w:r>
          </w:p>
          <w:p w:rsidR="005D4CD1" w:rsidRPr="005D4CD1" w:rsidRDefault="005D4CD1" w:rsidP="005D4CD1">
            <w:pPr>
              <w:ind w:left="369"/>
              <w:rPr>
                <w:rFonts w:ascii="Arial" w:hAnsi="Arial" w:cs="Arial"/>
              </w:rPr>
            </w:pPr>
            <w:r w:rsidRPr="005D4CD1">
              <w:rPr>
                <w:rFonts w:ascii="Arial" w:hAnsi="Arial" w:cs="Arial"/>
              </w:rPr>
              <w:t xml:space="preserve">How can a shared understanding of our national heritage be developed and best celebrated together?  </w:t>
            </w:r>
          </w:p>
          <w:p w:rsidR="005D4CD1" w:rsidRPr="005D4CD1" w:rsidRDefault="005D4CD1" w:rsidP="005D4CD1">
            <w:pPr>
              <w:ind w:left="369"/>
              <w:rPr>
                <w:rFonts w:ascii="Arial" w:hAnsi="Arial" w:cs="Arial"/>
              </w:rPr>
            </w:pPr>
            <w:r w:rsidRPr="005D4CD1">
              <w:rPr>
                <w:rFonts w:ascii="Arial" w:hAnsi="Arial" w:cs="Arial"/>
              </w:rPr>
              <w:t>Do you have any examples of activities that have been successful in promoting local heritage to a broader audience?</w:t>
            </w:r>
          </w:p>
          <w:p w:rsidR="005D4CD1" w:rsidRPr="005D4CD1" w:rsidRDefault="005D4CD1" w:rsidP="005D4CD1">
            <w:pPr>
              <w:ind w:left="369"/>
              <w:rPr>
                <w:rFonts w:ascii="Arial" w:hAnsi="Arial" w:cs="Arial"/>
              </w:rPr>
            </w:pPr>
            <w:r w:rsidRPr="005D4CD1">
              <w:rPr>
                <w:rFonts w:ascii="Arial" w:hAnsi="Arial" w:cs="Arial"/>
              </w:rPr>
              <w:t>What is the role of technology and new media in providing greater community access to heritage?</w:t>
            </w:r>
          </w:p>
          <w:p w:rsidR="003D3C13" w:rsidRPr="005D4CD1" w:rsidRDefault="003D3C13" w:rsidP="00C56567">
            <w:pPr>
              <w:spacing w:before="60" w:after="60" w:line="240" w:lineRule="auto"/>
              <w:outlineLvl w:val="1"/>
              <w:rPr>
                <w:rFonts w:ascii="Arial" w:hAnsi="Arial" w:cs="Arial"/>
                <w:sz w:val="24"/>
                <w:szCs w:val="24"/>
                <w:lang w:eastAsia="en-AU"/>
              </w:rPr>
            </w:pPr>
          </w:p>
        </w:tc>
      </w:tr>
      <w:tr w:rsidR="003D3C13" w:rsidTr="00B146BD">
        <w:trPr>
          <w:trHeight w:val="979"/>
        </w:trPr>
        <w:tc>
          <w:tcPr>
            <w:tcW w:w="9926" w:type="dxa"/>
            <w:gridSpan w:val="2"/>
            <w:tcBorders>
              <w:bottom w:val="single" w:sz="4" w:space="0" w:color="auto"/>
            </w:tcBorders>
          </w:tcPr>
          <w:p w:rsidR="003D3C13" w:rsidRDefault="003D3C13" w:rsidP="003D3C13">
            <w:pPr>
              <w:spacing w:before="60" w:after="60" w:line="240" w:lineRule="auto"/>
              <w:outlineLvl w:val="1"/>
              <w:rPr>
                <w:rFonts w:asciiTheme="minorHAnsi" w:hAnsiTheme="minorHAnsi"/>
                <w:sz w:val="24"/>
                <w:szCs w:val="24"/>
                <w:lang w:eastAsia="en-AU"/>
              </w:rPr>
            </w:pPr>
          </w:p>
          <w:p w:rsidR="003D3C13" w:rsidRDefault="00E06CDB" w:rsidP="003D3C13">
            <w:pPr>
              <w:spacing w:before="60" w:after="60" w:line="240" w:lineRule="auto"/>
              <w:outlineLvl w:val="1"/>
              <w:rPr>
                <w:rFonts w:asciiTheme="minorHAnsi" w:hAnsiTheme="minorHAnsi"/>
                <w:sz w:val="24"/>
                <w:szCs w:val="24"/>
                <w:lang w:eastAsia="en-AU"/>
              </w:rPr>
            </w:pPr>
            <w:r>
              <w:rPr>
                <w:rFonts w:asciiTheme="minorHAnsi" w:hAnsiTheme="minorHAnsi"/>
                <w:sz w:val="24"/>
                <w:szCs w:val="24"/>
                <w:lang w:eastAsia="en-AU"/>
              </w:rPr>
              <w:t>The community needs to be assisted to understand that critique of heritage places is possible.</w:t>
            </w:r>
          </w:p>
          <w:p w:rsidR="005D4CD1" w:rsidRDefault="005D4CD1" w:rsidP="003D3C13">
            <w:pPr>
              <w:spacing w:before="60" w:after="60" w:line="240" w:lineRule="auto"/>
              <w:outlineLvl w:val="1"/>
              <w:rPr>
                <w:rFonts w:asciiTheme="minorHAnsi" w:hAnsiTheme="minorHAnsi"/>
                <w:sz w:val="24"/>
                <w:szCs w:val="24"/>
                <w:lang w:eastAsia="en-AU"/>
              </w:rPr>
            </w:pPr>
          </w:p>
        </w:tc>
      </w:tr>
      <w:tr w:rsidR="003D3C13" w:rsidTr="00B146BD">
        <w:trPr>
          <w:trHeight w:val="407"/>
        </w:trPr>
        <w:tc>
          <w:tcPr>
            <w:tcW w:w="9926" w:type="dxa"/>
            <w:gridSpan w:val="2"/>
            <w:shd w:val="clear" w:color="auto" w:fill="C6D9F1" w:themeFill="text2" w:themeFillTint="33"/>
          </w:tcPr>
          <w:p w:rsidR="003D3C13" w:rsidRPr="005D4CD1" w:rsidRDefault="003D3C13" w:rsidP="003D3C13">
            <w:pPr>
              <w:spacing w:before="60" w:after="60" w:line="240" w:lineRule="auto"/>
              <w:outlineLvl w:val="1"/>
              <w:rPr>
                <w:rFonts w:asciiTheme="minorHAnsi" w:hAnsiTheme="minorHAnsi"/>
                <w:b/>
                <w:sz w:val="24"/>
                <w:szCs w:val="24"/>
                <w:lang w:eastAsia="en-AU"/>
              </w:rPr>
            </w:pPr>
            <w:r w:rsidRPr="005D4CD1">
              <w:rPr>
                <w:rFonts w:asciiTheme="minorHAnsi" w:hAnsiTheme="minorHAnsi"/>
                <w:b/>
                <w:sz w:val="24"/>
                <w:szCs w:val="24"/>
                <w:lang w:eastAsia="en-AU"/>
              </w:rPr>
              <w:t>Other comments</w:t>
            </w:r>
          </w:p>
        </w:tc>
      </w:tr>
      <w:tr w:rsidR="003D3C13" w:rsidTr="003D3C13">
        <w:trPr>
          <w:trHeight w:val="847"/>
        </w:trPr>
        <w:tc>
          <w:tcPr>
            <w:tcW w:w="9926" w:type="dxa"/>
            <w:gridSpan w:val="2"/>
          </w:tcPr>
          <w:p w:rsidR="003D3C13" w:rsidRDefault="003D3C13" w:rsidP="003D3C13">
            <w:pPr>
              <w:spacing w:before="60" w:after="60" w:line="240" w:lineRule="auto"/>
              <w:outlineLvl w:val="1"/>
              <w:rPr>
                <w:rFonts w:asciiTheme="minorHAnsi" w:hAnsiTheme="minorHAnsi"/>
                <w:sz w:val="24"/>
                <w:szCs w:val="24"/>
                <w:lang w:eastAsia="en-AU"/>
              </w:rPr>
            </w:pPr>
          </w:p>
          <w:p w:rsidR="00D73D01" w:rsidRDefault="00D73D01" w:rsidP="00D73D01">
            <w:r w:rsidRPr="00053B5F">
              <w:rPr>
                <w:b/>
              </w:rPr>
              <w:t>Document construction</w:t>
            </w:r>
            <w:r>
              <w:t xml:space="preserve">: the strategy is written in an uneven fashion. It makes broad statements about approaches to heritage then undercuts the statements with highly detailed commitments which do not expand the concept, for example on p.10, the securing of a loan of Matthew Flinders 1804 map of Australia sits uneasily next to “promoting greater knowledge and engagement with our heritage”.  I understand that the Flinders map happens to be of particular interest to the current Minister, but the concept of a loan </w:t>
            </w:r>
            <w:r w:rsidR="00B416AA">
              <w:t>is</w:t>
            </w:r>
            <w:r>
              <w:t xml:space="preserve"> out of step with the ambitions of the document. </w:t>
            </w:r>
          </w:p>
          <w:p w:rsidR="00D73D01" w:rsidRDefault="00D73D01" w:rsidP="00D73D01">
            <w:r>
              <w:t>Please consider removing all of the current commitments to an appendix, they hamper the reading of the d</w:t>
            </w:r>
            <w:r w:rsidR="00633DFB">
              <w:t>o</w:t>
            </w:r>
            <w:r>
              <w:t>cument for its broad policy statements.</w:t>
            </w:r>
          </w:p>
          <w:p w:rsidR="00D73D01" w:rsidRDefault="00D73D01" w:rsidP="00C539D7">
            <w:r w:rsidRPr="00053B5F">
              <w:rPr>
                <w:b/>
              </w:rPr>
              <w:t>Stories and Themes</w:t>
            </w:r>
            <w:r>
              <w:t xml:space="preserve">: on p.7 there is a proposal to “prioritise thematic studies” with the Australian Heritage Council, however, the strategy has blurred definitions of what is a story and what is a theme. The use of themes to structure the Australian past can have the unfortunate consequence of pushing specific, highly individual events and stories under convenient, inclusive headings thus nullifying their </w:t>
            </w:r>
            <w:r w:rsidR="00B416AA">
              <w:t xml:space="preserve">unique </w:t>
            </w:r>
            <w:r>
              <w:t xml:space="preserve">character. In comparison to themes, stories are always specific, retaining their local character and </w:t>
            </w:r>
            <w:r w:rsidR="00B416AA">
              <w:t>one-off</w:t>
            </w:r>
            <w:r>
              <w:t xml:space="preserve"> quality. They do not necessarily contribute to wider themes, but </w:t>
            </w:r>
            <w:r w:rsidR="00B416AA">
              <w:t xml:space="preserve">must </w:t>
            </w:r>
            <w:r>
              <w:t xml:space="preserve">be remembered.  At the public consultation in Perth on 15 May 2014 the representatives of Department of the Environment were unable to differentiate between stories and themes despite questioning of the author of the strategy. There are dangers in confusing these two </w:t>
            </w:r>
            <w:proofErr w:type="gramStart"/>
            <w:r>
              <w:t>concepts,</w:t>
            </w:r>
            <w:proofErr w:type="gramEnd"/>
            <w:r>
              <w:t xml:space="preserve"> the main concern is for the loss of unique qualities of particular stories as they are sucked under bureaucratic “theme”.  Another danger is that unique places and stories will be ignored on the grounds that they are already representatively included under an existing theme. </w:t>
            </w:r>
          </w:p>
          <w:p w:rsidR="00234512" w:rsidRDefault="00D73D01" w:rsidP="00C539D7">
            <w:r>
              <w:t>Not all stories will find a neat place under an existing theme</w:t>
            </w:r>
            <w:r w:rsidR="00234512">
              <w:t>. F</w:t>
            </w:r>
            <w:r>
              <w:t>or example, as recently as 1977, Judge Barwick saw no place for Dutch shipwrecks off the Western Australian coast in the dominant English version of Australian history, giving more weight to Captions Cook’s cannon than an entire Dutch shipwreck.</w:t>
            </w:r>
            <w:r w:rsidR="00EA2AB9">
              <w:t xml:space="preserve"> Of course Australia did not have heritage legislation at that time and thinking in the field was undeveloped. Nevertheless, I quote below from the case in order to illustrate the pitfalls of thinking in established historical categories which make it difficult to admit stories that do not fit. Unwittingly, Judge Barwick</w:t>
            </w:r>
            <w:r w:rsidR="00B416AA">
              <w:t xml:space="preserve"> </w:t>
            </w:r>
            <w:r w:rsidR="00EA2AB9">
              <w:t xml:space="preserve">adopted  a limited view of heritage which found it difficult to find a place for Dutch history in Australia’s </w:t>
            </w:r>
            <w:r w:rsidR="00B416AA">
              <w:lastRenderedPageBreak/>
              <w:t xml:space="preserve">hegemonic English </w:t>
            </w:r>
            <w:r w:rsidR="00EA2AB9">
              <w:t>narrative</w:t>
            </w:r>
            <w:r w:rsidR="00234512">
              <w:t>:</w:t>
            </w:r>
          </w:p>
          <w:p w:rsidR="00B416AA" w:rsidRDefault="00EA2AB9" w:rsidP="00B416AA">
            <w:pPr>
              <w:ind w:left="567" w:right="567"/>
              <w:jc w:val="both"/>
            </w:pPr>
            <w:r w:rsidRPr="00234512">
              <w:rPr>
                <w:sz w:val="21"/>
                <w:szCs w:val="21"/>
              </w:rPr>
              <w:t xml:space="preserve">With a degree of artistry </w:t>
            </w:r>
            <w:r w:rsidR="00234512" w:rsidRPr="00234512">
              <w:rPr>
                <w:sz w:val="21"/>
                <w:szCs w:val="21"/>
              </w:rPr>
              <w:t xml:space="preserve">[the WA Museum describes the four Dutch East India Company shipwrecks off the WA coast] </w:t>
            </w:r>
            <w:r w:rsidRPr="00234512">
              <w:rPr>
                <w:sz w:val="21"/>
                <w:szCs w:val="21"/>
              </w:rPr>
              <w:t xml:space="preserve">as "historic". So they might properly be styled in the history of navigation but scarcely in the history of the Colony or State of Western Australia. Doubtless the display in the Museum of items recovered from the wreck could enhance the effectiveness of the Museum and of its educational functions. So, indeed, might the display of one of the cannon from Cook's Endeavour. But in neither case would that circumstance make a law as to the possession of a part of the bed of the sea a law for the government of the State of Western Australia.  Cook’s cannon </w:t>
            </w:r>
            <w:proofErr w:type="gramStart"/>
            <w:r w:rsidRPr="00234512">
              <w:rPr>
                <w:sz w:val="21"/>
                <w:szCs w:val="21"/>
              </w:rPr>
              <w:t>has</w:t>
            </w:r>
            <w:proofErr w:type="gramEnd"/>
            <w:r w:rsidRPr="00234512">
              <w:rPr>
                <w:sz w:val="21"/>
                <w:szCs w:val="21"/>
              </w:rPr>
              <w:t xml:space="preserve"> indeed more relationship to the history of the Australian colonies than did the activities of the Dutch East India Company and the voyages and disasters of its fleet</w:t>
            </w:r>
            <w:r>
              <w:t>.</w:t>
            </w:r>
            <w:r w:rsidR="00B416AA">
              <w:t xml:space="preserve"> </w:t>
            </w:r>
            <w:r w:rsidR="00234512" w:rsidRPr="00234512">
              <w:rPr>
                <w:i/>
                <w:iCs/>
              </w:rPr>
              <w:t>Robinson v Western Australian Museum</w:t>
            </w:r>
            <w:r w:rsidR="00234512" w:rsidRPr="00234512">
              <w:t xml:space="preserve"> [1977] HCA 46, 138 CLR 283, per B</w:t>
            </w:r>
            <w:r w:rsidR="00234512">
              <w:t>arwick</w:t>
            </w:r>
            <w:r w:rsidR="00234512" w:rsidRPr="00234512">
              <w:t xml:space="preserve"> CJ, at pp 295-6. </w:t>
            </w:r>
          </w:p>
          <w:p w:rsidR="00B416AA" w:rsidRDefault="00B416AA" w:rsidP="00234512"/>
          <w:p w:rsidR="00234512" w:rsidRPr="00234512" w:rsidRDefault="00234512" w:rsidP="00234512">
            <w:r w:rsidRPr="00234512">
              <w:t>I make the analogy of this kind of thinking to the effect of heritage themes in the bureaucratic process.</w:t>
            </w:r>
          </w:p>
          <w:p w:rsidR="00234512" w:rsidRDefault="00234512" w:rsidP="00234512"/>
          <w:p w:rsidR="00234512" w:rsidRDefault="00234512" w:rsidP="00EA2AB9"/>
          <w:p w:rsidR="00EA2AB9" w:rsidRDefault="00EA2AB9" w:rsidP="00D73D01">
            <w:pPr>
              <w:ind w:left="720" w:hanging="720"/>
            </w:pPr>
          </w:p>
          <w:p w:rsidR="00D73D01" w:rsidRDefault="00D73D01" w:rsidP="00D73D01"/>
          <w:p w:rsidR="008F10D7" w:rsidRDefault="008F10D7" w:rsidP="003D3C13">
            <w:pPr>
              <w:spacing w:before="60" w:after="60" w:line="240" w:lineRule="auto"/>
              <w:outlineLvl w:val="1"/>
              <w:rPr>
                <w:rFonts w:asciiTheme="minorHAnsi" w:hAnsiTheme="minorHAnsi"/>
                <w:sz w:val="24"/>
                <w:szCs w:val="24"/>
                <w:lang w:eastAsia="en-AU"/>
              </w:rPr>
            </w:pPr>
          </w:p>
          <w:p w:rsidR="008F10D7" w:rsidRDefault="008F10D7"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p w:rsidR="005D4CD1" w:rsidRDefault="005D4CD1" w:rsidP="003D3C13">
            <w:pPr>
              <w:spacing w:before="60" w:after="60" w:line="240" w:lineRule="auto"/>
              <w:outlineLvl w:val="1"/>
              <w:rPr>
                <w:rFonts w:asciiTheme="minorHAnsi" w:hAnsiTheme="minorHAnsi"/>
                <w:sz w:val="24"/>
                <w:szCs w:val="24"/>
                <w:lang w:eastAsia="en-AU"/>
              </w:rPr>
            </w:pPr>
          </w:p>
        </w:tc>
      </w:tr>
    </w:tbl>
    <w:p w:rsidR="00253FD6" w:rsidRPr="004E3AA0" w:rsidRDefault="00253FD6" w:rsidP="007F1A58">
      <w:pPr>
        <w:rPr>
          <w:b/>
          <w:sz w:val="18"/>
          <w:szCs w:val="18"/>
        </w:rPr>
      </w:pPr>
    </w:p>
    <w:sectPr w:rsidR="00253FD6" w:rsidRPr="004E3AA0" w:rsidSect="007C3B3F">
      <w:headerReference w:type="even" r:id="rId7"/>
      <w:headerReference w:type="default" r:id="rId8"/>
      <w:footerReference w:type="default" r:id="rId9"/>
      <w:headerReference w:type="first" r:id="rId10"/>
      <w:pgSz w:w="11906" w:h="16838"/>
      <w:pgMar w:top="1560" w:right="1134" w:bottom="1418" w:left="1134"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06D8" w:rsidRDefault="005206D8" w:rsidP="00A60185">
      <w:pPr>
        <w:spacing w:after="0" w:line="240" w:lineRule="auto"/>
      </w:pPr>
      <w:r>
        <w:separator/>
      </w:r>
    </w:p>
  </w:endnote>
  <w:endnote w:type="continuationSeparator" w:id="0">
    <w:p w:rsidR="005206D8" w:rsidRDefault="005206D8"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A17F75" w:rsidRDefault="001C7C24">
        <w:pPr>
          <w:pStyle w:val="Footer"/>
          <w:jc w:val="center"/>
        </w:pPr>
        <w:r>
          <w:fldChar w:fldCharType="begin"/>
        </w:r>
        <w:r w:rsidR="0060344C">
          <w:instrText xml:space="preserve"> PAGE   \* MERGEFORMAT </w:instrText>
        </w:r>
        <w:r>
          <w:fldChar w:fldCharType="separate"/>
        </w:r>
        <w:r w:rsidR="00F83407">
          <w:rPr>
            <w:noProof/>
          </w:rPr>
          <w:t>3</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06D8" w:rsidRDefault="005206D8" w:rsidP="00A60185">
      <w:pPr>
        <w:spacing w:after="0" w:line="240" w:lineRule="auto"/>
      </w:pPr>
      <w:r>
        <w:separator/>
      </w:r>
    </w:p>
  </w:footnote>
  <w:footnote w:type="continuationSeparator" w:id="0">
    <w:p w:rsidR="005206D8" w:rsidRDefault="005206D8"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1C7C24" w:rsidP="00E45765">
    <w:pPr>
      <w:pStyle w:val="Classification"/>
    </w:pPr>
    <w:r>
      <w:fldChar w:fldCharType="begin"/>
    </w:r>
    <w:r w:rsidR="00A17F75">
      <w:instrText xml:space="preserve"> DOCPROPERTY SecurityClassification \* MERGEFORMAT </w:instrText>
    </w:r>
    <w:r>
      <w:fldChar w:fldCharType="separate"/>
    </w:r>
    <w:r w:rsidR="00566839">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-109855</wp:posOffset>
          </wp:positionV>
          <wp:extent cx="2644140" cy="776850"/>
          <wp:effectExtent l="0" t="0" r="381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44140" cy="7768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75" w:rsidRDefault="00A17F75">
    <w:pPr>
      <w:pStyle w:val="Header"/>
    </w:pPr>
    <w:r>
      <w:rPr>
        <w:noProof/>
        <w:lang w:eastAsia="en-AU"/>
      </w:rPr>
      <w:drawing>
        <wp:inline distT="0" distB="0" distL="0" distR="0">
          <wp:extent cx="2827020" cy="830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27020" cy="8305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F6A4D88"/>
    <w:lvl w:ilvl="0">
      <w:start w:val="1"/>
      <w:numFmt w:val="decimal"/>
      <w:lvlText w:val="%1."/>
      <w:lvlJc w:val="left"/>
      <w:pPr>
        <w:tabs>
          <w:tab w:val="num" w:pos="1492"/>
        </w:tabs>
        <w:ind w:left="1492" w:hanging="360"/>
      </w:pPr>
    </w:lvl>
  </w:abstractNum>
  <w:abstractNum w:abstractNumId="1">
    <w:nsid w:val="FFFFFF7D"/>
    <w:multiLevelType w:val="singleLevel"/>
    <w:tmpl w:val="2090A8FA"/>
    <w:lvl w:ilvl="0">
      <w:start w:val="1"/>
      <w:numFmt w:val="decimal"/>
      <w:lvlText w:val="%1."/>
      <w:lvlJc w:val="left"/>
      <w:pPr>
        <w:tabs>
          <w:tab w:val="num" w:pos="1209"/>
        </w:tabs>
        <w:ind w:left="1209" w:hanging="360"/>
      </w:pPr>
    </w:lvl>
  </w:abstractNum>
  <w:abstractNum w:abstractNumId="2">
    <w:nsid w:val="FFFFFF7E"/>
    <w:multiLevelType w:val="singleLevel"/>
    <w:tmpl w:val="8D462BDC"/>
    <w:lvl w:ilvl="0">
      <w:start w:val="1"/>
      <w:numFmt w:val="decimal"/>
      <w:lvlText w:val="%1."/>
      <w:lvlJc w:val="left"/>
      <w:pPr>
        <w:tabs>
          <w:tab w:val="num" w:pos="926"/>
        </w:tabs>
        <w:ind w:left="926" w:hanging="360"/>
      </w:pPr>
    </w:lvl>
  </w:abstractNum>
  <w:abstractNum w:abstractNumId="3">
    <w:nsid w:val="FFFFFF7F"/>
    <w:multiLevelType w:val="singleLevel"/>
    <w:tmpl w:val="77B8748C"/>
    <w:lvl w:ilvl="0">
      <w:start w:val="1"/>
      <w:numFmt w:val="decimal"/>
      <w:lvlText w:val="%1."/>
      <w:lvlJc w:val="left"/>
      <w:pPr>
        <w:tabs>
          <w:tab w:val="num" w:pos="643"/>
        </w:tabs>
        <w:ind w:left="643" w:hanging="360"/>
      </w:pPr>
    </w:lvl>
  </w:abstractNum>
  <w:abstractNum w:abstractNumId="4">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D68994"/>
    <w:lvl w:ilvl="0">
      <w:start w:val="1"/>
      <w:numFmt w:val="decimal"/>
      <w:lvlText w:val="%1."/>
      <w:lvlJc w:val="left"/>
      <w:pPr>
        <w:tabs>
          <w:tab w:val="num" w:pos="360"/>
        </w:tabs>
        <w:ind w:left="360" w:hanging="360"/>
      </w:pPr>
    </w:lvl>
  </w:abstractNum>
  <w:abstractNum w:abstractNumId="9">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nsid w:val="05EC64B3"/>
    <w:multiLevelType w:val="multilevel"/>
    <w:tmpl w:val="E5E89F92"/>
    <w:numStyleLink w:val="BulletList"/>
  </w:abstractNum>
  <w:abstractNum w:abstractNumId="12">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4AB21CC"/>
    <w:multiLevelType w:val="multilevel"/>
    <w:tmpl w:val="E898CC72"/>
    <w:numStyleLink w:val="KeyPoints"/>
  </w:abstractNum>
  <w:abstractNum w:abstractNumId="15">
    <w:nsid w:val="1784511A"/>
    <w:multiLevelType w:val="multilevel"/>
    <w:tmpl w:val="E898CC72"/>
    <w:numStyleLink w:val="KeyPoints"/>
  </w:abstractNum>
  <w:abstractNum w:abstractNumId="16">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C291970"/>
    <w:multiLevelType w:val="multilevel"/>
    <w:tmpl w:val="E898CC72"/>
    <w:numStyleLink w:val="KeyPoints"/>
  </w:abstractNum>
  <w:abstractNum w:abstractNumId="18">
    <w:nsid w:val="1F745BC2"/>
    <w:multiLevelType w:val="multilevel"/>
    <w:tmpl w:val="E5E89F92"/>
    <w:numStyleLink w:val="BulletList"/>
  </w:abstractNum>
  <w:abstractNum w:abstractNumId="19">
    <w:nsid w:val="29253B4A"/>
    <w:multiLevelType w:val="multilevel"/>
    <w:tmpl w:val="E898CC72"/>
    <w:numStyleLink w:val="KeyPoints"/>
  </w:abstractNum>
  <w:abstractNum w:abstractNumId="20">
    <w:nsid w:val="2C1B4F6C"/>
    <w:multiLevelType w:val="multilevel"/>
    <w:tmpl w:val="E898CC72"/>
    <w:numStyleLink w:val="KeyPoints"/>
  </w:abstractNum>
  <w:abstractNum w:abstractNumId="21">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2">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8816F9C"/>
    <w:multiLevelType w:val="multilevel"/>
    <w:tmpl w:val="E5E89F92"/>
    <w:numStyleLink w:val="BulletList"/>
  </w:abstractNum>
  <w:abstractNum w:abstractNumId="25">
    <w:nsid w:val="3B351B82"/>
    <w:multiLevelType w:val="multilevel"/>
    <w:tmpl w:val="E5E89F92"/>
    <w:numStyleLink w:val="BulletList"/>
  </w:abstractNum>
  <w:abstractNum w:abstractNumId="26">
    <w:nsid w:val="48B871CF"/>
    <w:multiLevelType w:val="multilevel"/>
    <w:tmpl w:val="E5E89F92"/>
    <w:numStyleLink w:val="BulletList"/>
  </w:abstractNum>
  <w:abstractNum w:abstractNumId="27">
    <w:nsid w:val="49016841"/>
    <w:multiLevelType w:val="multilevel"/>
    <w:tmpl w:val="E5E89F92"/>
    <w:numStyleLink w:val="BulletList"/>
  </w:abstractNum>
  <w:abstractNum w:abstractNumId="28">
    <w:nsid w:val="51A44175"/>
    <w:multiLevelType w:val="multilevel"/>
    <w:tmpl w:val="E5E89F92"/>
    <w:numStyleLink w:val="BulletList"/>
  </w:abstractNum>
  <w:abstractNum w:abstractNumId="29">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5456429"/>
    <w:multiLevelType w:val="multilevel"/>
    <w:tmpl w:val="E898CC72"/>
    <w:numStyleLink w:val="KeyPoints"/>
  </w:abstractNum>
  <w:abstractNum w:abstractNumId="31">
    <w:nsid w:val="672E0C2A"/>
    <w:multiLevelType w:val="multilevel"/>
    <w:tmpl w:val="E5E89F92"/>
    <w:numStyleLink w:val="BulletList"/>
  </w:abstractNum>
  <w:abstractNum w:abstractNumId="32">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3">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6A823B13"/>
    <w:multiLevelType w:val="multilevel"/>
    <w:tmpl w:val="E5E89F92"/>
    <w:numStyleLink w:val="BulletList"/>
  </w:abstractNum>
  <w:abstractNum w:abstractNumId="35">
    <w:nsid w:val="6DF2198A"/>
    <w:multiLevelType w:val="multilevel"/>
    <w:tmpl w:val="E5E89F92"/>
    <w:numStyleLink w:val="BulletList"/>
  </w:abstractNum>
  <w:abstractNum w:abstractNumId="36">
    <w:nsid w:val="6F032444"/>
    <w:multiLevelType w:val="multilevel"/>
    <w:tmpl w:val="E5E89F92"/>
    <w:numStyleLink w:val="BulletList"/>
  </w:abstractNum>
  <w:abstractNum w:abstractNumId="37">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2C700E0"/>
    <w:multiLevelType w:val="multilevel"/>
    <w:tmpl w:val="E898CC72"/>
    <w:numStyleLink w:val="KeyPoints"/>
  </w:abstractNum>
  <w:abstractNum w:abstractNumId="4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1">
    <w:nsid w:val="788260C9"/>
    <w:multiLevelType w:val="multilevel"/>
    <w:tmpl w:val="E898CC72"/>
    <w:numStyleLink w:val="KeyPoints"/>
  </w:abstractNum>
  <w:abstractNum w:abstractNumId="42">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7D3708B3"/>
    <w:multiLevelType w:val="multilevel"/>
    <w:tmpl w:val="E5E89F92"/>
    <w:numStyleLink w:val="BulletList"/>
  </w:abstractNum>
  <w:num w:numId="1">
    <w:abstractNumId w:val="40"/>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6"/>
  </w:num>
  <w:num w:numId="5">
    <w:abstractNumId w:val="37"/>
  </w:num>
  <w:num w:numId="6">
    <w:abstractNumId w:val="38"/>
  </w:num>
  <w:num w:numId="7">
    <w:abstractNumId w:val="33"/>
  </w:num>
  <w:num w:numId="8">
    <w:abstractNumId w:val="21"/>
  </w:num>
  <w:num w:numId="9">
    <w:abstractNumId w:val="9"/>
  </w:num>
  <w:num w:numId="10">
    <w:abstractNumId w:val="7"/>
  </w:num>
  <w:num w:numId="11">
    <w:abstractNumId w:val="6"/>
  </w:num>
  <w:num w:numId="12">
    <w:abstractNumId w:val="5"/>
  </w:num>
  <w:num w:numId="13">
    <w:abstractNumId w:val="4"/>
  </w:num>
  <w:num w:numId="14">
    <w:abstractNumId w:val="23"/>
  </w:num>
  <w:num w:numId="15">
    <w:abstractNumId w:val="16"/>
  </w:num>
  <w:num w:numId="16">
    <w:abstractNumId w:val="42"/>
  </w:num>
  <w:num w:numId="17">
    <w:abstractNumId w:val="12"/>
  </w:num>
  <w:num w:numId="18">
    <w:abstractNumId w:val="31"/>
  </w:num>
  <w:num w:numId="19">
    <w:abstractNumId w:val="11"/>
  </w:num>
  <w:num w:numId="20">
    <w:abstractNumId w:val="20"/>
  </w:num>
  <w:num w:numId="21">
    <w:abstractNumId w:val="14"/>
  </w:num>
  <w:num w:numId="22">
    <w:abstractNumId w:val="19"/>
  </w:num>
  <w:num w:numId="23">
    <w:abstractNumId w:val="27"/>
  </w:num>
  <w:num w:numId="24">
    <w:abstractNumId w:val="36"/>
  </w:num>
  <w:num w:numId="25">
    <w:abstractNumId w:val="32"/>
  </w:num>
  <w:num w:numId="26">
    <w:abstractNumId w:val="25"/>
  </w:num>
  <w:num w:numId="27">
    <w:abstractNumId w:val="39"/>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4"/>
  </w:num>
  <w:num w:numId="31">
    <w:abstractNumId w:val="35"/>
  </w:num>
  <w:num w:numId="32">
    <w:abstractNumId w:val="32"/>
  </w:num>
  <w:num w:numId="33">
    <w:abstractNumId w:val="28"/>
  </w:num>
  <w:num w:numId="34">
    <w:abstractNumId w:val="17"/>
  </w:num>
  <w:num w:numId="35">
    <w:abstractNumId w:val="29"/>
  </w:num>
  <w:num w:numId="36">
    <w:abstractNumId w:val="43"/>
  </w:num>
  <w:num w:numId="37">
    <w:abstractNumId w:val="43"/>
    <w:lvlOverride w:ilvl="0">
      <w:startOverride w:val="1"/>
    </w:lvlOverride>
  </w:num>
  <w:num w:numId="38">
    <w:abstractNumId w:val="8"/>
  </w:num>
  <w:num w:numId="39">
    <w:abstractNumId w:val="22"/>
  </w:num>
  <w:num w:numId="40">
    <w:abstractNumId w:val="3"/>
  </w:num>
  <w:num w:numId="41">
    <w:abstractNumId w:val="2"/>
  </w:num>
  <w:num w:numId="42">
    <w:abstractNumId w:val="1"/>
  </w:num>
  <w:num w:numId="43">
    <w:abstractNumId w:val="0"/>
  </w:num>
  <w:num w:numId="44">
    <w:abstractNumId w:val="41"/>
  </w:num>
  <w:num w:numId="45">
    <w:abstractNumId w:val="34"/>
  </w:num>
  <w:num w:numId="46">
    <w:abstractNumId w:val="44"/>
  </w:num>
  <w:num w:numId="47">
    <w:abstractNumId w:val="30"/>
  </w:num>
  <w:num w:numId="4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hideGrammatical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dgnword-docGUID" w:val="{C05F67C4-31D9-4027-A996-2FE06820DBD1}"/>
    <w:docVar w:name="dgnword-eventsink" w:val="113394896"/>
    <w:docVar w:name="SecurityClassificationInHeader" w:val="False"/>
  </w:docVars>
  <w:rsids>
    <w:rsidRoot w:val="00271FAA"/>
    <w:rsid w:val="00004AEE"/>
    <w:rsid w:val="00005CAA"/>
    <w:rsid w:val="00010210"/>
    <w:rsid w:val="00012D66"/>
    <w:rsid w:val="00015ADA"/>
    <w:rsid w:val="00020C99"/>
    <w:rsid w:val="0002707B"/>
    <w:rsid w:val="000341CC"/>
    <w:rsid w:val="0005148E"/>
    <w:rsid w:val="00072C5A"/>
    <w:rsid w:val="000759E5"/>
    <w:rsid w:val="00084AC6"/>
    <w:rsid w:val="00091608"/>
    <w:rsid w:val="0009333C"/>
    <w:rsid w:val="0009704F"/>
    <w:rsid w:val="000A0F11"/>
    <w:rsid w:val="000A125A"/>
    <w:rsid w:val="000A57CD"/>
    <w:rsid w:val="000B0450"/>
    <w:rsid w:val="000B240B"/>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2250"/>
    <w:rsid w:val="001337D4"/>
    <w:rsid w:val="00147C12"/>
    <w:rsid w:val="001527A1"/>
    <w:rsid w:val="001530DC"/>
    <w:rsid w:val="00154989"/>
    <w:rsid w:val="00155A9F"/>
    <w:rsid w:val="00160262"/>
    <w:rsid w:val="0016780A"/>
    <w:rsid w:val="001713FA"/>
    <w:rsid w:val="00172561"/>
    <w:rsid w:val="00173EBF"/>
    <w:rsid w:val="00175ED3"/>
    <w:rsid w:val="001842A2"/>
    <w:rsid w:val="00187FA8"/>
    <w:rsid w:val="00192F5E"/>
    <w:rsid w:val="00197772"/>
    <w:rsid w:val="001A2DC3"/>
    <w:rsid w:val="001A51C8"/>
    <w:rsid w:val="001A7650"/>
    <w:rsid w:val="001B28C8"/>
    <w:rsid w:val="001B4CA8"/>
    <w:rsid w:val="001B5EA1"/>
    <w:rsid w:val="001C4F3D"/>
    <w:rsid w:val="001C7C24"/>
    <w:rsid w:val="001D0CDC"/>
    <w:rsid w:val="001D1D82"/>
    <w:rsid w:val="001D504E"/>
    <w:rsid w:val="001E1182"/>
    <w:rsid w:val="001E42BB"/>
    <w:rsid w:val="001E6AFB"/>
    <w:rsid w:val="00202C90"/>
    <w:rsid w:val="00213DE8"/>
    <w:rsid w:val="00216118"/>
    <w:rsid w:val="002209AB"/>
    <w:rsid w:val="002251E3"/>
    <w:rsid w:val="00227A95"/>
    <w:rsid w:val="00230D89"/>
    <w:rsid w:val="002316BD"/>
    <w:rsid w:val="00234512"/>
    <w:rsid w:val="002473FC"/>
    <w:rsid w:val="00252E3C"/>
    <w:rsid w:val="00253FD6"/>
    <w:rsid w:val="00262198"/>
    <w:rsid w:val="00267830"/>
    <w:rsid w:val="00271FAA"/>
    <w:rsid w:val="00285F1B"/>
    <w:rsid w:val="00292B81"/>
    <w:rsid w:val="002A7A1A"/>
    <w:rsid w:val="002B18AE"/>
    <w:rsid w:val="002C1C93"/>
    <w:rsid w:val="002C5066"/>
    <w:rsid w:val="002C5813"/>
    <w:rsid w:val="002D4AAC"/>
    <w:rsid w:val="002F045A"/>
    <w:rsid w:val="0030039D"/>
    <w:rsid w:val="0030326F"/>
    <w:rsid w:val="00310701"/>
    <w:rsid w:val="00313EAE"/>
    <w:rsid w:val="00315980"/>
    <w:rsid w:val="00316F7F"/>
    <w:rsid w:val="003218E8"/>
    <w:rsid w:val="00325E34"/>
    <w:rsid w:val="00330DCE"/>
    <w:rsid w:val="00331E11"/>
    <w:rsid w:val="00334761"/>
    <w:rsid w:val="00337EBC"/>
    <w:rsid w:val="00341DCD"/>
    <w:rsid w:val="0034563E"/>
    <w:rsid w:val="003518D6"/>
    <w:rsid w:val="00353AD1"/>
    <w:rsid w:val="0035460C"/>
    <w:rsid w:val="003556BD"/>
    <w:rsid w:val="00365147"/>
    <w:rsid w:val="0037016E"/>
    <w:rsid w:val="00372908"/>
    <w:rsid w:val="00383020"/>
    <w:rsid w:val="00394D7E"/>
    <w:rsid w:val="003975FD"/>
    <w:rsid w:val="003B057D"/>
    <w:rsid w:val="003B60CC"/>
    <w:rsid w:val="003C1B25"/>
    <w:rsid w:val="003C2443"/>
    <w:rsid w:val="003C5DA3"/>
    <w:rsid w:val="003D0D72"/>
    <w:rsid w:val="003D3C13"/>
    <w:rsid w:val="003D4BCD"/>
    <w:rsid w:val="003D6C2B"/>
    <w:rsid w:val="003E01D8"/>
    <w:rsid w:val="003E2100"/>
    <w:rsid w:val="003F29DC"/>
    <w:rsid w:val="003F6F5B"/>
    <w:rsid w:val="0040342D"/>
    <w:rsid w:val="00406B0D"/>
    <w:rsid w:val="0041192D"/>
    <w:rsid w:val="00413EE1"/>
    <w:rsid w:val="0042128E"/>
    <w:rsid w:val="00432B60"/>
    <w:rsid w:val="00440698"/>
    <w:rsid w:val="004540E2"/>
    <w:rsid w:val="00454454"/>
    <w:rsid w:val="00467924"/>
    <w:rsid w:val="004712A5"/>
    <w:rsid w:val="0047266F"/>
    <w:rsid w:val="004736ED"/>
    <w:rsid w:val="00476D6B"/>
    <w:rsid w:val="004929E7"/>
    <w:rsid w:val="00492C16"/>
    <w:rsid w:val="00494D68"/>
    <w:rsid w:val="004A0678"/>
    <w:rsid w:val="004A48A3"/>
    <w:rsid w:val="004B0D92"/>
    <w:rsid w:val="004B0EC0"/>
    <w:rsid w:val="004B66F1"/>
    <w:rsid w:val="004C3EA0"/>
    <w:rsid w:val="004D3A92"/>
    <w:rsid w:val="004E3AA0"/>
    <w:rsid w:val="004F1AD9"/>
    <w:rsid w:val="004F6977"/>
    <w:rsid w:val="004F7169"/>
    <w:rsid w:val="00500D66"/>
    <w:rsid w:val="00512558"/>
    <w:rsid w:val="00514C8E"/>
    <w:rsid w:val="005206D8"/>
    <w:rsid w:val="00531DBF"/>
    <w:rsid w:val="00545759"/>
    <w:rsid w:val="00545BE0"/>
    <w:rsid w:val="00546930"/>
    <w:rsid w:val="00554C6A"/>
    <w:rsid w:val="00562E85"/>
    <w:rsid w:val="0056332F"/>
    <w:rsid w:val="00566839"/>
    <w:rsid w:val="005719B3"/>
    <w:rsid w:val="0057295E"/>
    <w:rsid w:val="00581C39"/>
    <w:rsid w:val="005879D6"/>
    <w:rsid w:val="005903B6"/>
    <w:rsid w:val="005A0247"/>
    <w:rsid w:val="005A126E"/>
    <w:rsid w:val="005A452F"/>
    <w:rsid w:val="005B140D"/>
    <w:rsid w:val="005B4BCD"/>
    <w:rsid w:val="005C1FEA"/>
    <w:rsid w:val="005C3495"/>
    <w:rsid w:val="005D4CD1"/>
    <w:rsid w:val="005E3DFC"/>
    <w:rsid w:val="005E5942"/>
    <w:rsid w:val="005E60AF"/>
    <w:rsid w:val="005F1DEA"/>
    <w:rsid w:val="0060344C"/>
    <w:rsid w:val="00607FC9"/>
    <w:rsid w:val="00622FE1"/>
    <w:rsid w:val="0062521C"/>
    <w:rsid w:val="00630A2B"/>
    <w:rsid w:val="00632DC7"/>
    <w:rsid w:val="00633DFB"/>
    <w:rsid w:val="00634EC8"/>
    <w:rsid w:val="006357FB"/>
    <w:rsid w:val="006406FC"/>
    <w:rsid w:val="00640E57"/>
    <w:rsid w:val="00642383"/>
    <w:rsid w:val="00646122"/>
    <w:rsid w:val="00652A1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E1CFE"/>
    <w:rsid w:val="006F10C4"/>
    <w:rsid w:val="006F40E9"/>
    <w:rsid w:val="006F5603"/>
    <w:rsid w:val="00701400"/>
    <w:rsid w:val="007037CF"/>
    <w:rsid w:val="007167C0"/>
    <w:rsid w:val="00720481"/>
    <w:rsid w:val="00733193"/>
    <w:rsid w:val="00744DDA"/>
    <w:rsid w:val="00745E03"/>
    <w:rsid w:val="0075732A"/>
    <w:rsid w:val="007600F8"/>
    <w:rsid w:val="00760262"/>
    <w:rsid w:val="0076310C"/>
    <w:rsid w:val="0076593D"/>
    <w:rsid w:val="0076744F"/>
    <w:rsid w:val="00767BCE"/>
    <w:rsid w:val="00767EFC"/>
    <w:rsid w:val="007707DE"/>
    <w:rsid w:val="00770B5D"/>
    <w:rsid w:val="00774405"/>
    <w:rsid w:val="007752F1"/>
    <w:rsid w:val="00776768"/>
    <w:rsid w:val="0078187A"/>
    <w:rsid w:val="00787DDC"/>
    <w:rsid w:val="00790E98"/>
    <w:rsid w:val="007952AC"/>
    <w:rsid w:val="007A2573"/>
    <w:rsid w:val="007B106C"/>
    <w:rsid w:val="007B1A4E"/>
    <w:rsid w:val="007B3068"/>
    <w:rsid w:val="007B3D05"/>
    <w:rsid w:val="007B4F81"/>
    <w:rsid w:val="007B5503"/>
    <w:rsid w:val="007C179C"/>
    <w:rsid w:val="007C3B3F"/>
    <w:rsid w:val="007C6BB3"/>
    <w:rsid w:val="007D14B4"/>
    <w:rsid w:val="007D3AD7"/>
    <w:rsid w:val="007E24F6"/>
    <w:rsid w:val="007F1A58"/>
    <w:rsid w:val="007F1E6C"/>
    <w:rsid w:val="007F5D8A"/>
    <w:rsid w:val="00800F64"/>
    <w:rsid w:val="00801050"/>
    <w:rsid w:val="00802F0B"/>
    <w:rsid w:val="00810A67"/>
    <w:rsid w:val="00833CF7"/>
    <w:rsid w:val="00834CDE"/>
    <w:rsid w:val="00842464"/>
    <w:rsid w:val="00845601"/>
    <w:rsid w:val="00855C5C"/>
    <w:rsid w:val="0087578A"/>
    <w:rsid w:val="008A3C96"/>
    <w:rsid w:val="008B4019"/>
    <w:rsid w:val="008B65C9"/>
    <w:rsid w:val="008C2D4A"/>
    <w:rsid w:val="008D3900"/>
    <w:rsid w:val="008D6E1D"/>
    <w:rsid w:val="008F0D14"/>
    <w:rsid w:val="008F10D7"/>
    <w:rsid w:val="008F39B4"/>
    <w:rsid w:val="008F4162"/>
    <w:rsid w:val="00903E02"/>
    <w:rsid w:val="00913175"/>
    <w:rsid w:val="00916EDB"/>
    <w:rsid w:val="00920861"/>
    <w:rsid w:val="00922B13"/>
    <w:rsid w:val="009242EF"/>
    <w:rsid w:val="00932291"/>
    <w:rsid w:val="00932861"/>
    <w:rsid w:val="0093408E"/>
    <w:rsid w:val="00952DDF"/>
    <w:rsid w:val="00963B6A"/>
    <w:rsid w:val="00970950"/>
    <w:rsid w:val="009812D4"/>
    <w:rsid w:val="009920D8"/>
    <w:rsid w:val="009A4CEC"/>
    <w:rsid w:val="009B0EEE"/>
    <w:rsid w:val="009B38BE"/>
    <w:rsid w:val="009C3D0F"/>
    <w:rsid w:val="009E02AC"/>
    <w:rsid w:val="009E1B19"/>
    <w:rsid w:val="009F35E2"/>
    <w:rsid w:val="009F65F9"/>
    <w:rsid w:val="009F68BA"/>
    <w:rsid w:val="00A06277"/>
    <w:rsid w:val="00A079DC"/>
    <w:rsid w:val="00A111C2"/>
    <w:rsid w:val="00A15A5A"/>
    <w:rsid w:val="00A17F75"/>
    <w:rsid w:val="00A338E7"/>
    <w:rsid w:val="00A35CAA"/>
    <w:rsid w:val="00A36E7F"/>
    <w:rsid w:val="00A41E65"/>
    <w:rsid w:val="00A43E0A"/>
    <w:rsid w:val="00A530C7"/>
    <w:rsid w:val="00A55F5B"/>
    <w:rsid w:val="00A60185"/>
    <w:rsid w:val="00A645FD"/>
    <w:rsid w:val="00A661EA"/>
    <w:rsid w:val="00A81F3F"/>
    <w:rsid w:val="00A830E5"/>
    <w:rsid w:val="00A87135"/>
    <w:rsid w:val="00A913FA"/>
    <w:rsid w:val="00A93280"/>
    <w:rsid w:val="00A934FD"/>
    <w:rsid w:val="00A951EA"/>
    <w:rsid w:val="00AA2548"/>
    <w:rsid w:val="00AA58C4"/>
    <w:rsid w:val="00AB11C8"/>
    <w:rsid w:val="00AC08A8"/>
    <w:rsid w:val="00AD56C8"/>
    <w:rsid w:val="00AD58F2"/>
    <w:rsid w:val="00AE0785"/>
    <w:rsid w:val="00AF32B4"/>
    <w:rsid w:val="00B0512A"/>
    <w:rsid w:val="00B0529F"/>
    <w:rsid w:val="00B06E9E"/>
    <w:rsid w:val="00B1418B"/>
    <w:rsid w:val="00B146BD"/>
    <w:rsid w:val="00B21195"/>
    <w:rsid w:val="00B24B22"/>
    <w:rsid w:val="00B25310"/>
    <w:rsid w:val="00B32F8F"/>
    <w:rsid w:val="00B416AA"/>
    <w:rsid w:val="00B54DE9"/>
    <w:rsid w:val="00B553EC"/>
    <w:rsid w:val="00B55E3F"/>
    <w:rsid w:val="00B7074F"/>
    <w:rsid w:val="00B93DD0"/>
    <w:rsid w:val="00B97732"/>
    <w:rsid w:val="00BA65A8"/>
    <w:rsid w:val="00BA6D19"/>
    <w:rsid w:val="00BA7461"/>
    <w:rsid w:val="00BA7DA9"/>
    <w:rsid w:val="00BC4215"/>
    <w:rsid w:val="00BD1A6F"/>
    <w:rsid w:val="00BD75D9"/>
    <w:rsid w:val="00BE6D3C"/>
    <w:rsid w:val="00BE7852"/>
    <w:rsid w:val="00BF7CEE"/>
    <w:rsid w:val="00C03880"/>
    <w:rsid w:val="00C135CF"/>
    <w:rsid w:val="00C2683F"/>
    <w:rsid w:val="00C30B40"/>
    <w:rsid w:val="00C3184D"/>
    <w:rsid w:val="00C4714E"/>
    <w:rsid w:val="00C51CCA"/>
    <w:rsid w:val="00C539D7"/>
    <w:rsid w:val="00C5504F"/>
    <w:rsid w:val="00C56567"/>
    <w:rsid w:val="00C57B55"/>
    <w:rsid w:val="00C63376"/>
    <w:rsid w:val="00C70D34"/>
    <w:rsid w:val="00C74F97"/>
    <w:rsid w:val="00C8276E"/>
    <w:rsid w:val="00C842AC"/>
    <w:rsid w:val="00C85570"/>
    <w:rsid w:val="00C96688"/>
    <w:rsid w:val="00CA0723"/>
    <w:rsid w:val="00CB1690"/>
    <w:rsid w:val="00CB3CB1"/>
    <w:rsid w:val="00CC4365"/>
    <w:rsid w:val="00CD11B0"/>
    <w:rsid w:val="00CE71C2"/>
    <w:rsid w:val="00CF42D5"/>
    <w:rsid w:val="00CF4EDA"/>
    <w:rsid w:val="00CF6087"/>
    <w:rsid w:val="00D021CB"/>
    <w:rsid w:val="00D10F1A"/>
    <w:rsid w:val="00D116F8"/>
    <w:rsid w:val="00D17596"/>
    <w:rsid w:val="00D22640"/>
    <w:rsid w:val="00D26D3A"/>
    <w:rsid w:val="00D41615"/>
    <w:rsid w:val="00D45EE3"/>
    <w:rsid w:val="00D50618"/>
    <w:rsid w:val="00D509E9"/>
    <w:rsid w:val="00D53B1C"/>
    <w:rsid w:val="00D56B2E"/>
    <w:rsid w:val="00D73D01"/>
    <w:rsid w:val="00D92C2E"/>
    <w:rsid w:val="00DA1B12"/>
    <w:rsid w:val="00DA54C9"/>
    <w:rsid w:val="00DA6739"/>
    <w:rsid w:val="00DA6CAE"/>
    <w:rsid w:val="00DB1A9E"/>
    <w:rsid w:val="00DB31D6"/>
    <w:rsid w:val="00DB4005"/>
    <w:rsid w:val="00DC34EB"/>
    <w:rsid w:val="00DE3B58"/>
    <w:rsid w:val="00DF1E5B"/>
    <w:rsid w:val="00DF2275"/>
    <w:rsid w:val="00DF3F5E"/>
    <w:rsid w:val="00DF5653"/>
    <w:rsid w:val="00E0596E"/>
    <w:rsid w:val="00E06CDB"/>
    <w:rsid w:val="00E06F66"/>
    <w:rsid w:val="00E356E5"/>
    <w:rsid w:val="00E36F81"/>
    <w:rsid w:val="00E45765"/>
    <w:rsid w:val="00E5098C"/>
    <w:rsid w:val="00E5475A"/>
    <w:rsid w:val="00E60213"/>
    <w:rsid w:val="00E661B2"/>
    <w:rsid w:val="00E7001B"/>
    <w:rsid w:val="00E74D29"/>
    <w:rsid w:val="00E83C74"/>
    <w:rsid w:val="00E83CEE"/>
    <w:rsid w:val="00E877BF"/>
    <w:rsid w:val="00E91F18"/>
    <w:rsid w:val="00E9226D"/>
    <w:rsid w:val="00E970BB"/>
    <w:rsid w:val="00EA2AB9"/>
    <w:rsid w:val="00EA416C"/>
    <w:rsid w:val="00EA5941"/>
    <w:rsid w:val="00EA6517"/>
    <w:rsid w:val="00EB60CE"/>
    <w:rsid w:val="00EB7D53"/>
    <w:rsid w:val="00ED4FFD"/>
    <w:rsid w:val="00EE3146"/>
    <w:rsid w:val="00EF50BB"/>
    <w:rsid w:val="00EF53FF"/>
    <w:rsid w:val="00F00192"/>
    <w:rsid w:val="00F01DF6"/>
    <w:rsid w:val="00F02A0A"/>
    <w:rsid w:val="00F0340D"/>
    <w:rsid w:val="00F059A6"/>
    <w:rsid w:val="00F23756"/>
    <w:rsid w:val="00F2523A"/>
    <w:rsid w:val="00F25FFA"/>
    <w:rsid w:val="00F310D2"/>
    <w:rsid w:val="00F36F3D"/>
    <w:rsid w:val="00F415A2"/>
    <w:rsid w:val="00F477BD"/>
    <w:rsid w:val="00F51FB0"/>
    <w:rsid w:val="00F53491"/>
    <w:rsid w:val="00F639B6"/>
    <w:rsid w:val="00F65A1C"/>
    <w:rsid w:val="00F66F50"/>
    <w:rsid w:val="00F73382"/>
    <w:rsid w:val="00F82FF8"/>
    <w:rsid w:val="00F8330D"/>
    <w:rsid w:val="00F83407"/>
    <w:rsid w:val="00F84305"/>
    <w:rsid w:val="00F8485C"/>
    <w:rsid w:val="00F87149"/>
    <w:rsid w:val="00F87FFE"/>
    <w:rsid w:val="00F915DF"/>
    <w:rsid w:val="00F954C9"/>
    <w:rsid w:val="00FA4CF0"/>
    <w:rsid w:val="00FA61AA"/>
    <w:rsid w:val="00FA69A4"/>
    <w:rsid w:val="00FB1279"/>
    <w:rsid w:val="00FB1495"/>
    <w:rsid w:val="00FD1694"/>
    <w:rsid w:val="00FD7636"/>
    <w:rsid w:val="00FE3229"/>
    <w:rsid w:val="00FE74C3"/>
    <w:rsid w:val="00FF215C"/>
    <w:rsid w:val="00FF49E8"/>
    <w:rsid w:val="00FF672F"/>
    <w:rsid w:val="00FF7E7E"/>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53FD6"/>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C51CCA"/>
    <w:pPr>
      <w:keepNext/>
      <w:outlineLvl w:val="0"/>
    </w:pPr>
    <w:rPr>
      <w:rFonts w:ascii="Arial" w:eastAsia="Calibri" w:hAnsi="Arial" w:cs="Arial"/>
      <w:b/>
      <w:caps/>
    </w:rPr>
  </w:style>
  <w:style w:type="paragraph" w:styleId="Heading2">
    <w:name w:val="heading 2"/>
    <w:basedOn w:val="Normal"/>
    <w:next w:val="Normal"/>
    <w:link w:val="Heading2Char"/>
    <w:uiPriority w:val="9"/>
    <w:qFormat/>
    <w:rsid w:val="000E31C1"/>
    <w:pPr>
      <w:keepNext/>
      <w:outlineLvl w:val="1"/>
    </w:pPr>
    <w:rPr>
      <w:rFonts w:ascii="Arial" w:eastAsia="Calibri" w:hAnsi="Arial" w:cs="Arial"/>
      <w:b/>
    </w:rPr>
  </w:style>
  <w:style w:type="paragraph" w:styleId="Heading3">
    <w:name w:val="heading 3"/>
    <w:basedOn w:val="Normal"/>
    <w:next w:val="Normal"/>
    <w:link w:val="Heading3Char"/>
    <w:qFormat/>
    <w:rsid w:val="000E31C1"/>
    <w:pPr>
      <w:keepNext/>
      <w:outlineLvl w:val="2"/>
    </w:pPr>
    <w:rPr>
      <w:rFonts w:ascii="Arial" w:eastAsia="Calibri" w:hAnsi="Arial" w:cs="Arial"/>
      <w:b/>
      <w:i/>
    </w:rPr>
  </w:style>
  <w:style w:type="paragraph" w:styleId="Heading4">
    <w:name w:val="heading 4"/>
    <w:basedOn w:val="Normal"/>
    <w:next w:val="Normal"/>
    <w:link w:val="Heading4Char"/>
    <w:uiPriority w:val="9"/>
    <w:qFormat/>
    <w:rsid w:val="000E31C1"/>
    <w:pPr>
      <w:keepNext/>
      <w:outlineLvl w:val="3"/>
    </w:pPr>
    <w:rPr>
      <w:rFonts w:ascii="Arial" w:eastAsia="Calibri"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rPr>
      <w:rFonts w:ascii="Arial" w:eastAsia="Calibri" w:hAnsi="Arial"/>
    </w:r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rPr>
      <w:rFonts w:ascii="Arial" w:eastAsia="Calibri" w:hAnsi="Arial"/>
    </w:rPr>
  </w:style>
  <w:style w:type="paragraph" w:styleId="ListBullet2">
    <w:name w:val="List Bullet 2"/>
    <w:basedOn w:val="Normal"/>
    <w:uiPriority w:val="99"/>
    <w:unhideWhenUsed/>
    <w:rsid w:val="00091608"/>
    <w:pPr>
      <w:numPr>
        <w:ilvl w:val="1"/>
        <w:numId w:val="48"/>
      </w:numPr>
    </w:pPr>
    <w:rPr>
      <w:rFonts w:ascii="Arial" w:eastAsia="Calibri" w:hAnsi="Arial"/>
    </w:rPr>
  </w:style>
  <w:style w:type="paragraph" w:styleId="ListBullet3">
    <w:name w:val="List Bullet 3"/>
    <w:basedOn w:val="Normal"/>
    <w:uiPriority w:val="99"/>
    <w:unhideWhenUsed/>
    <w:rsid w:val="00091608"/>
    <w:pPr>
      <w:numPr>
        <w:ilvl w:val="2"/>
        <w:numId w:val="48"/>
      </w:numPr>
    </w:pPr>
    <w:rPr>
      <w:rFonts w:ascii="Arial" w:eastAsia="Calibri" w:hAnsi="Arial"/>
    </w:rPr>
  </w:style>
  <w:style w:type="paragraph" w:styleId="ListBullet4">
    <w:name w:val="List Bullet 4"/>
    <w:basedOn w:val="Normal"/>
    <w:uiPriority w:val="99"/>
    <w:unhideWhenUsed/>
    <w:rsid w:val="00091608"/>
    <w:pPr>
      <w:numPr>
        <w:ilvl w:val="3"/>
        <w:numId w:val="48"/>
      </w:numPr>
    </w:pPr>
    <w:rPr>
      <w:rFonts w:ascii="Arial" w:eastAsia="Calibri" w:hAnsi="Arial"/>
    </w:rPr>
  </w:style>
  <w:style w:type="paragraph" w:styleId="ListBullet5">
    <w:name w:val="List Bullet 5"/>
    <w:basedOn w:val="Normal"/>
    <w:uiPriority w:val="99"/>
    <w:unhideWhenUsed/>
    <w:rsid w:val="00091608"/>
    <w:pPr>
      <w:numPr>
        <w:ilvl w:val="4"/>
        <w:numId w:val="48"/>
      </w:numPr>
    </w:pPr>
    <w:rPr>
      <w:rFonts w:ascii="Arial" w:eastAsia="Calibri" w:hAnsi="Arial"/>
    </w:r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ascii="Arial" w:hAnsi="Arial" w:cs="Arial"/>
      <w:color w:val="FF0000"/>
      <w:sz w:val="28"/>
      <w:szCs w:val="28"/>
      <w:lang w:eastAsia="en-AU"/>
    </w:rPr>
  </w:style>
  <w:style w:type="paragraph" w:styleId="ListParagraph">
    <w:name w:val="List Paragraph"/>
    <w:basedOn w:val="Normal"/>
    <w:uiPriority w:val="34"/>
    <w:rsid w:val="003556BD"/>
    <w:pPr>
      <w:numPr>
        <w:numId w:val="39"/>
      </w:numPr>
    </w:pPr>
    <w:rPr>
      <w:rFonts w:ascii="Arial" w:eastAsia="Calibri" w:hAnsi="Arial"/>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rPr>
      <w:rFonts w:ascii="Arial" w:eastAsia="Calibri" w:hAnsi="Arial"/>
    </w:rPr>
  </w:style>
  <w:style w:type="paragraph" w:styleId="ListNumber2">
    <w:name w:val="List Number 2"/>
    <w:basedOn w:val="Normal"/>
    <w:uiPriority w:val="99"/>
    <w:rsid w:val="00005CAA"/>
    <w:pPr>
      <w:numPr>
        <w:ilvl w:val="1"/>
        <w:numId w:val="47"/>
      </w:numPr>
    </w:pPr>
    <w:rPr>
      <w:rFonts w:ascii="Arial" w:eastAsia="Calibri" w:hAnsi="Arial"/>
    </w:rPr>
  </w:style>
  <w:style w:type="paragraph" w:styleId="ListNumber3">
    <w:name w:val="List Number 3"/>
    <w:basedOn w:val="Normal"/>
    <w:uiPriority w:val="99"/>
    <w:rsid w:val="00005CAA"/>
    <w:pPr>
      <w:numPr>
        <w:ilvl w:val="2"/>
        <w:numId w:val="47"/>
      </w:numPr>
    </w:pPr>
    <w:rPr>
      <w:rFonts w:ascii="Arial" w:eastAsia="Calibri" w:hAnsi="Arial"/>
    </w:rPr>
  </w:style>
  <w:style w:type="paragraph" w:styleId="ListNumber4">
    <w:name w:val="List Number 4"/>
    <w:basedOn w:val="Normal"/>
    <w:uiPriority w:val="99"/>
    <w:rsid w:val="00005CAA"/>
    <w:pPr>
      <w:numPr>
        <w:ilvl w:val="3"/>
        <w:numId w:val="47"/>
      </w:numPr>
    </w:pPr>
    <w:rPr>
      <w:rFonts w:ascii="Arial" w:eastAsia="Calibri" w:hAnsi="Arial"/>
    </w:rPr>
  </w:style>
  <w:style w:type="paragraph" w:styleId="ListNumber5">
    <w:name w:val="List Number 5"/>
    <w:basedOn w:val="Normal"/>
    <w:uiPriority w:val="99"/>
    <w:rsid w:val="00005CAA"/>
    <w:pPr>
      <w:numPr>
        <w:ilvl w:val="4"/>
        <w:numId w:val="47"/>
      </w:numPr>
    </w:pPr>
    <w:rPr>
      <w:rFonts w:ascii="Arial" w:eastAsia="Calibri" w:hAnsi="Arial"/>
    </w:r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rPr>
      <w:rFonts w:ascii="Arial" w:eastAsia="Calibri" w:hAnsi="Arial"/>
    </w:rPr>
  </w:style>
  <w:style w:type="paragraph" w:customStyle="1" w:styleId="Classificationsensitivity">
    <w:name w:val="Classification sensitivity"/>
    <w:basedOn w:val="Classification"/>
    <w:rsid w:val="002C5813"/>
    <w:rPr>
      <w:sz w:val="22"/>
    </w:rPr>
  </w:style>
  <w:style w:type="paragraph" w:customStyle="1" w:styleId="TableTopRow">
    <w:name w:val="Table Top Row"/>
    <w:basedOn w:val="Normal"/>
    <w:link w:val="TableTopRowChar1"/>
    <w:rsid w:val="00253FD6"/>
    <w:pPr>
      <w:tabs>
        <w:tab w:val="left" w:pos="720"/>
      </w:tabs>
      <w:spacing w:before="40" w:after="40" w:line="240" w:lineRule="auto"/>
      <w:jc w:val="center"/>
    </w:pPr>
    <w:rPr>
      <w:rFonts w:ascii="Arial" w:hAnsi="Arial" w:cs="Arial"/>
      <w:b/>
      <w:sz w:val="20"/>
      <w:szCs w:val="20"/>
    </w:rPr>
  </w:style>
  <w:style w:type="character" w:customStyle="1" w:styleId="TableTopRowChar1">
    <w:name w:val="Table Top Row Char1"/>
    <w:basedOn w:val="DefaultParagraphFont"/>
    <w:link w:val="TableTopRow"/>
    <w:locked/>
    <w:rsid w:val="00253FD6"/>
    <w:rPr>
      <w:rFonts w:eastAsia="Times New Roman" w:cs="Arial"/>
      <w:b/>
      <w:lang w:eastAsia="en-US"/>
    </w:rPr>
  </w:style>
  <w:style w:type="paragraph" w:customStyle="1" w:styleId="Tablebody">
    <w:name w:val="Table body"/>
    <w:basedOn w:val="Normal"/>
    <w:link w:val="TablebodyChar1"/>
    <w:rsid w:val="00253FD6"/>
    <w:pPr>
      <w:tabs>
        <w:tab w:val="left" w:pos="720"/>
      </w:tabs>
      <w:spacing w:before="40" w:after="40" w:line="240" w:lineRule="auto"/>
    </w:pPr>
    <w:rPr>
      <w:rFonts w:ascii="Arial" w:hAnsi="Arial" w:cs="Arial"/>
      <w:sz w:val="20"/>
      <w:szCs w:val="20"/>
    </w:rPr>
  </w:style>
  <w:style w:type="character" w:customStyle="1" w:styleId="TablebodyChar1">
    <w:name w:val="Table body Char1"/>
    <w:basedOn w:val="DefaultParagraphFont"/>
    <w:link w:val="Tablebody"/>
    <w:locked/>
    <w:rsid w:val="00253FD6"/>
    <w:rPr>
      <w:rFonts w:eastAsia="Times New Roman" w:cs="Arial"/>
      <w:lang w:eastAsia="en-US"/>
    </w:rPr>
  </w:style>
  <w:style w:type="paragraph" w:customStyle="1" w:styleId="Bookendtext-notnumbered">
    <w:name w:val="Bookend text - not numbered"/>
    <w:basedOn w:val="Normal"/>
    <w:link w:val="Bookendtext-notnumberedChar1"/>
    <w:rsid w:val="00253FD6"/>
    <w:pPr>
      <w:tabs>
        <w:tab w:val="left" w:pos="0"/>
      </w:tabs>
      <w:spacing w:before="200" w:after="0" w:line="240" w:lineRule="auto"/>
    </w:pPr>
    <w:rPr>
      <w:rFonts w:ascii="Arial" w:hAnsi="Arial" w:cs="Arial"/>
    </w:rPr>
  </w:style>
  <w:style w:type="character" w:customStyle="1" w:styleId="Bookendtext-notnumberedChar1">
    <w:name w:val="Bookend text - not numbered Char1"/>
    <w:basedOn w:val="DefaultParagraphFont"/>
    <w:link w:val="Bookendtext-notnumbered"/>
    <w:locked/>
    <w:rsid w:val="00253FD6"/>
    <w:rPr>
      <w:rFonts w:eastAsia="Times New Roman" w:cs="Arial"/>
      <w:sz w:val="22"/>
      <w:szCs w:val="22"/>
      <w:lang w:eastAsia="en-US"/>
    </w:rPr>
  </w:style>
  <w:style w:type="paragraph" w:styleId="NormalWeb">
    <w:name w:val="Normal (Web)"/>
    <w:basedOn w:val="Normal"/>
    <w:uiPriority w:val="99"/>
    <w:rsid w:val="00253FD6"/>
    <w:pPr>
      <w:spacing w:before="100" w:beforeAutospacing="1" w:after="100" w:afterAutospacing="1" w:line="240" w:lineRule="auto"/>
    </w:pPr>
    <w:rPr>
      <w:rFonts w:ascii="Times New Roman" w:hAnsi="Times New Roman"/>
      <w:sz w:val="24"/>
      <w:szCs w:val="24"/>
      <w:lang w:eastAsia="en-AU"/>
    </w:rPr>
  </w:style>
  <w:style w:type="character" w:styleId="CommentReference">
    <w:name w:val="annotation reference"/>
    <w:basedOn w:val="DefaultParagraphFont"/>
    <w:uiPriority w:val="99"/>
    <w:semiHidden/>
    <w:unhideWhenUsed/>
    <w:rsid w:val="00A934FD"/>
    <w:rPr>
      <w:sz w:val="16"/>
      <w:szCs w:val="16"/>
    </w:rPr>
  </w:style>
  <w:style w:type="paragraph" w:styleId="CommentText">
    <w:name w:val="annotation text"/>
    <w:basedOn w:val="Normal"/>
    <w:link w:val="CommentTextChar"/>
    <w:uiPriority w:val="99"/>
    <w:semiHidden/>
    <w:unhideWhenUsed/>
    <w:rsid w:val="00A934FD"/>
    <w:pPr>
      <w:spacing w:line="240" w:lineRule="auto"/>
    </w:pPr>
    <w:rPr>
      <w:sz w:val="20"/>
      <w:szCs w:val="20"/>
    </w:rPr>
  </w:style>
  <w:style w:type="character" w:customStyle="1" w:styleId="CommentTextChar">
    <w:name w:val="Comment Text Char"/>
    <w:basedOn w:val="DefaultParagraphFont"/>
    <w:link w:val="CommentText"/>
    <w:uiPriority w:val="99"/>
    <w:semiHidden/>
    <w:rsid w:val="00A934FD"/>
    <w:rPr>
      <w:rFonts w:ascii="Calibri" w:eastAsia="Times New Roman" w:hAnsi="Calibri"/>
      <w:lang w:eastAsia="en-US"/>
    </w:rPr>
  </w:style>
  <w:style w:type="paragraph" w:styleId="CommentSubject">
    <w:name w:val="annotation subject"/>
    <w:basedOn w:val="CommentText"/>
    <w:next w:val="CommentText"/>
    <w:link w:val="CommentSubjectChar"/>
    <w:uiPriority w:val="99"/>
    <w:semiHidden/>
    <w:unhideWhenUsed/>
    <w:rsid w:val="00A934FD"/>
    <w:rPr>
      <w:b/>
      <w:bCs/>
    </w:rPr>
  </w:style>
  <w:style w:type="character" w:customStyle="1" w:styleId="CommentSubjectChar">
    <w:name w:val="Comment Subject Char"/>
    <w:basedOn w:val="CommentTextChar"/>
    <w:link w:val="CommentSubject"/>
    <w:uiPriority w:val="99"/>
    <w:semiHidden/>
    <w:rsid w:val="00A934FD"/>
    <w:rPr>
      <w:rFonts w:ascii="Calibri" w:eastAsia="Times New Roman" w:hAnsi="Calibri"/>
      <w:b/>
      <w:bCs/>
      <w:lang w:eastAsia="en-US"/>
    </w:rPr>
  </w:style>
  <w:style w:type="paragraph" w:styleId="Revision">
    <w:name w:val="Revision"/>
    <w:hidden/>
    <w:uiPriority w:val="99"/>
    <w:semiHidden/>
    <w:rsid w:val="00A934FD"/>
    <w:rPr>
      <w:rFonts w:ascii="Calibri" w:eastAsia="Times New Roman" w:hAnsi="Calibri"/>
      <w:sz w:val="22"/>
      <w:szCs w:val="22"/>
      <w:lang w:eastAsia="en-US"/>
    </w:rPr>
  </w:style>
  <w:style w:type="paragraph" w:styleId="BodyText">
    <w:name w:val="Body Text"/>
    <w:basedOn w:val="Normal"/>
    <w:link w:val="BodyTextChar"/>
    <w:uiPriority w:val="99"/>
    <w:semiHidden/>
    <w:unhideWhenUsed/>
    <w:rsid w:val="007F5D8A"/>
    <w:pPr>
      <w:spacing w:after="120"/>
    </w:pPr>
  </w:style>
  <w:style w:type="character" w:customStyle="1" w:styleId="BodyTextChar">
    <w:name w:val="Body Text Char"/>
    <w:basedOn w:val="DefaultParagraphFont"/>
    <w:link w:val="BodyText"/>
    <w:uiPriority w:val="99"/>
    <w:semiHidden/>
    <w:rsid w:val="007F5D8A"/>
    <w:rPr>
      <w:rFonts w:ascii="Calibri" w:eastAsia="Times New Roman" w:hAnsi="Calibri"/>
      <w:sz w:val="22"/>
      <w:szCs w:val="22"/>
      <w:lang w:eastAsia="en-US"/>
    </w:rPr>
  </w:style>
  <w:style w:type="character" w:styleId="Hyperlink">
    <w:name w:val="Hyperlink"/>
    <w:basedOn w:val="DefaultParagraphFont"/>
    <w:uiPriority w:val="99"/>
    <w:unhideWhenUsed/>
    <w:rsid w:val="007F5D8A"/>
    <w:rPr>
      <w:color w:val="0000FF" w:themeColor="hyperlink"/>
      <w:u w:val="single"/>
    </w:rPr>
  </w:style>
  <w:style w:type="paragraph" w:customStyle="1" w:styleId="Style2">
    <w:name w:val="Style2"/>
    <w:basedOn w:val="Heading1"/>
    <w:link w:val="Style2Char"/>
    <w:qFormat/>
    <w:rsid w:val="007952AC"/>
    <w:pPr>
      <w:spacing w:before="60" w:after="60" w:line="240" w:lineRule="auto"/>
    </w:pPr>
    <w:rPr>
      <w:rFonts w:eastAsia="Times New Roman" w:cs="Times New Roman"/>
      <w:caps w:val="0"/>
      <w:color w:val="A1664C"/>
      <w:kern w:val="20"/>
      <w:sz w:val="28"/>
      <w:szCs w:val="28"/>
    </w:rPr>
  </w:style>
  <w:style w:type="character" w:customStyle="1" w:styleId="Style2Char">
    <w:name w:val="Style2 Char"/>
    <w:link w:val="Style2"/>
    <w:locked/>
    <w:rsid w:val="007952AC"/>
    <w:rPr>
      <w:rFonts w:eastAsia="Times New Roman"/>
      <w:b/>
      <w:color w:val="A1664C"/>
      <w:kern w:val="20"/>
      <w:sz w:val="28"/>
      <w:szCs w:val="28"/>
      <w:lang w:eastAsia="en-US"/>
    </w:rPr>
  </w:style>
</w:styles>
</file>

<file path=word/webSettings.xml><?xml version="1.0" encoding="utf-8"?>
<w:webSettings xmlns:r="http://schemas.openxmlformats.org/officeDocument/2006/relationships" xmlns:w="http://schemas.openxmlformats.org/wordprocessingml/2006/main">
  <w:divs>
    <w:div w:id="540436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1381</Words>
  <Characters>7874</Characters>
  <Application>Microsoft Office Word</Application>
  <DocSecurity>0</DocSecurity>
  <Lines>65</Lines>
  <Paragraphs>18</Paragraphs>
  <ScaleCrop>false</ScaleCrop>
  <LinksUpToDate>false</LinksUpToDate>
  <CharactersWithSpaces>9237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015-school-built-environment-curtin-university</dc:title>
  <dc:creator/>
  <cp:lastModifiedBy/>
  <cp:revision>1</cp:revision>
  <dcterms:created xsi:type="dcterms:W3CDTF">2014-10-29T03:20:00Z</dcterms:created>
  <dcterms:modified xsi:type="dcterms:W3CDTF">2014-11-17T23:43:00Z</dcterms:modified>
</cp:coreProperties>
</file>